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620AE2" w:rsidRDefault="00620AE2" w:rsidP="005E27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0AE2">
        <w:rPr>
          <w:rFonts w:ascii="Times New Roman" w:hAnsi="Times New Roman" w:cs="Times New Roman"/>
          <w:sz w:val="28"/>
          <w:szCs w:val="28"/>
        </w:rPr>
        <w:t>ПРОЕКТ</w:t>
      </w:r>
    </w:p>
    <w:p w:rsidR="00620AE2" w:rsidRDefault="00620AE2" w:rsidP="00620AE2">
      <w:pPr>
        <w:pStyle w:val="ConsPlusNormal"/>
        <w:widowControl/>
        <w:ind w:firstLine="0"/>
      </w:pPr>
    </w:p>
    <w:p w:rsidR="005E274A" w:rsidRDefault="005E274A" w:rsidP="00620AE2">
      <w:pPr>
        <w:pStyle w:val="ConsPlusNormal"/>
        <w:widowControl/>
        <w:ind w:firstLine="0"/>
      </w:pPr>
    </w:p>
    <w:p w:rsidR="005E274A" w:rsidRDefault="005E274A" w:rsidP="00620AE2">
      <w:pPr>
        <w:pStyle w:val="ConsPlusNormal"/>
        <w:widowControl/>
        <w:ind w:firstLine="0"/>
      </w:pPr>
    </w:p>
    <w:p w:rsidR="005E274A" w:rsidRPr="008F3273" w:rsidRDefault="005E274A" w:rsidP="00620AE2">
      <w:pPr>
        <w:pStyle w:val="ConsPlusNormal"/>
        <w:widowControl/>
        <w:ind w:firstLine="0"/>
      </w:pPr>
    </w:p>
    <w:p w:rsidR="007C6684" w:rsidRDefault="00620AE2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</w:t>
      </w:r>
      <w:r w:rsidR="007C6684">
        <w:rPr>
          <w:rFonts w:ascii="Times New Roman" w:hAnsi="Times New Roman" w:cs="Times New Roman"/>
          <w:b/>
          <w:bCs/>
          <w:sz w:val="28"/>
          <w:szCs w:val="28"/>
        </w:rPr>
        <w:t xml:space="preserve">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20AE2" w:rsidRDefault="00620AE2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20AE2">
        <w:rPr>
          <w:sz w:val="28"/>
          <w:szCs w:val="28"/>
        </w:rPr>
        <w:t>«__»_________</w:t>
      </w:r>
      <w:r>
        <w:rPr>
          <w:sz w:val="28"/>
          <w:szCs w:val="28"/>
        </w:rPr>
        <w:t>20</w:t>
      </w:r>
      <w:r w:rsidR="006D265E">
        <w:rPr>
          <w:sz w:val="28"/>
          <w:szCs w:val="28"/>
        </w:rPr>
        <w:t>20</w:t>
      </w:r>
      <w:r w:rsidR="007C6684">
        <w:rPr>
          <w:sz w:val="28"/>
          <w:szCs w:val="28"/>
        </w:rPr>
        <w:t xml:space="preserve">    № </w:t>
      </w:r>
      <w:r w:rsidR="00620AE2">
        <w:rPr>
          <w:sz w:val="28"/>
          <w:szCs w:val="28"/>
        </w:rPr>
        <w:t>__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681"/>
      </w:tblGrid>
      <w:tr w:rsidR="006D265E" w:rsidRPr="00997882" w:rsidTr="00F41CFC">
        <w:trPr>
          <w:trHeight w:val="1328"/>
        </w:trPr>
        <w:tc>
          <w:tcPr>
            <w:tcW w:w="4681" w:type="dxa"/>
            <w:shd w:val="clear" w:color="auto" w:fill="auto"/>
          </w:tcPr>
          <w:p w:rsidR="006D265E" w:rsidRPr="006628C9" w:rsidRDefault="006D265E" w:rsidP="00F41CFC">
            <w:pPr>
              <w:overflowPunct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D265E" w:rsidRPr="00997882" w:rsidRDefault="006D265E" w:rsidP="006D265E">
            <w:pPr>
              <w:shd w:val="clear" w:color="auto" w:fill="FFFFFF"/>
              <w:overflowPunct w:val="0"/>
              <w:spacing w:after="213" w:line="250" w:lineRule="atLeast"/>
              <w:outlineLvl w:val="1"/>
              <w:rPr>
                <w:sz w:val="28"/>
                <w:szCs w:val="28"/>
              </w:rPr>
            </w:pPr>
            <w:r w:rsidRPr="006628C9">
              <w:rPr>
                <w:b/>
                <w:sz w:val="28"/>
                <w:szCs w:val="28"/>
              </w:rPr>
              <w:t xml:space="preserve">Об утверждении Порядка формирования перечня налоговых расходов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28C9">
              <w:rPr>
                <w:b/>
                <w:sz w:val="28"/>
                <w:szCs w:val="28"/>
              </w:rPr>
              <w:t xml:space="preserve">и оценки налоговых расходов </w:t>
            </w:r>
            <w:r>
              <w:rPr>
                <w:b/>
                <w:sz w:val="28"/>
                <w:szCs w:val="28"/>
              </w:rPr>
              <w:t>Трегубовского сельского поселения</w:t>
            </w:r>
          </w:p>
        </w:tc>
      </w:tr>
    </w:tbl>
    <w:p w:rsidR="006D265E" w:rsidRPr="004D38F9" w:rsidRDefault="006D265E" w:rsidP="006D265E">
      <w:pPr>
        <w:ind w:firstLine="709"/>
        <w:jc w:val="both"/>
        <w:rPr>
          <w:sz w:val="28"/>
          <w:szCs w:val="28"/>
        </w:rPr>
      </w:pPr>
      <w:r w:rsidRPr="008B625D">
        <w:rPr>
          <w:sz w:val="28"/>
          <w:szCs w:val="28"/>
        </w:rPr>
        <w:t>В соответствии    со ст</w:t>
      </w:r>
      <w:r>
        <w:rPr>
          <w:sz w:val="28"/>
          <w:szCs w:val="28"/>
        </w:rPr>
        <w:t xml:space="preserve">. 174.3 Бюджетного кодекса РФ  и </w:t>
      </w:r>
      <w:r w:rsidRPr="004D38F9">
        <w:rPr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</w:p>
    <w:p w:rsidR="006D265E" w:rsidRDefault="00337593" w:rsidP="006D265E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337593" w:rsidRPr="006D265E" w:rsidRDefault="006D265E" w:rsidP="006D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B625D">
        <w:rPr>
          <w:bCs/>
          <w:sz w:val="28"/>
          <w:szCs w:val="28"/>
        </w:rPr>
        <w:t>1. Утвердить прилагаемый Порядок формирования перечня налоговых расходов</w:t>
      </w:r>
      <w:r w:rsidRPr="00DD62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Трегубовского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337593" w:rsidRDefault="006D265E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337593" w:rsidRPr="00434294">
        <w:rPr>
          <w:sz w:val="28"/>
          <w:szCs w:val="28"/>
        </w:rPr>
        <w:t>.</w:t>
      </w:r>
      <w:r w:rsidR="00337593">
        <w:rPr>
          <w:sz w:val="28"/>
          <w:szCs w:val="28"/>
        </w:rPr>
        <w:t xml:space="preserve"> </w:t>
      </w:r>
      <w:r w:rsidR="00337593"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="00337593" w:rsidRPr="00E559F8">
        <w:rPr>
          <w:sz w:val="28"/>
          <w:szCs w:val="28"/>
        </w:rPr>
        <w:t xml:space="preserve">в официальном </w:t>
      </w:r>
      <w:r w:rsidR="00337593">
        <w:rPr>
          <w:sz w:val="28"/>
          <w:szCs w:val="28"/>
        </w:rPr>
        <w:t xml:space="preserve">бюллетене </w:t>
      </w:r>
      <w:r w:rsidR="00337593" w:rsidRPr="00E559F8">
        <w:rPr>
          <w:sz w:val="28"/>
          <w:szCs w:val="28"/>
        </w:rPr>
        <w:t xml:space="preserve">Администрации </w:t>
      </w:r>
      <w:r w:rsidR="00337593">
        <w:rPr>
          <w:sz w:val="28"/>
          <w:szCs w:val="28"/>
        </w:rPr>
        <w:t>Трегубовского сельского поселения «МИГ Трегубово»</w:t>
      </w:r>
      <w:r w:rsidR="00337593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337593">
        <w:rPr>
          <w:sz w:val="28"/>
          <w:szCs w:val="28"/>
        </w:rPr>
        <w:t>Трегубовского сельского поселения</w:t>
      </w:r>
      <w:r w:rsidR="00337593" w:rsidRPr="00E559F8">
        <w:rPr>
          <w:sz w:val="28"/>
          <w:szCs w:val="28"/>
        </w:rPr>
        <w:t xml:space="preserve"> в сети «Интернет».</w:t>
      </w:r>
    </w:p>
    <w:p w:rsidR="006D265E" w:rsidRDefault="006D265E" w:rsidP="00125367">
      <w:pPr>
        <w:rPr>
          <w:sz w:val="28"/>
          <w:szCs w:val="28"/>
        </w:rPr>
      </w:pPr>
    </w:p>
    <w:p w:rsidR="006D265E" w:rsidRDefault="006D265E" w:rsidP="00125367">
      <w:pPr>
        <w:rPr>
          <w:sz w:val="28"/>
          <w:szCs w:val="28"/>
        </w:rPr>
      </w:pPr>
    </w:p>
    <w:p w:rsidR="006D265E" w:rsidRDefault="006D265E" w:rsidP="00125367">
      <w:pPr>
        <w:rPr>
          <w:sz w:val="28"/>
          <w:szCs w:val="28"/>
        </w:rPr>
      </w:pPr>
    </w:p>
    <w:p w:rsidR="00125367" w:rsidRPr="006D265E" w:rsidRDefault="00125367" w:rsidP="00125367">
      <w:pPr>
        <w:rPr>
          <w:i/>
        </w:rPr>
      </w:pPr>
      <w:r w:rsidRPr="006D265E">
        <w:rPr>
          <w:i/>
          <w:sz w:val="28"/>
          <w:szCs w:val="28"/>
        </w:rPr>
        <w:t xml:space="preserve">Проект подготовлен и завизирован: </w:t>
      </w:r>
    </w:p>
    <w:p w:rsidR="00125367" w:rsidRPr="006D265E" w:rsidRDefault="00125367" w:rsidP="00125367">
      <w:pPr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5E274A" w:rsidRDefault="005E274A" w:rsidP="00316109">
      <w:pPr>
        <w:rPr>
          <w:i/>
          <w:sz w:val="28"/>
          <w:szCs w:val="28"/>
        </w:rPr>
      </w:pPr>
    </w:p>
    <w:p w:rsidR="00316109" w:rsidRPr="006D265E" w:rsidRDefault="00316109" w:rsidP="00316109">
      <w:pPr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>В представленном проекте условия,</w:t>
      </w:r>
    </w:p>
    <w:p w:rsidR="00316109" w:rsidRPr="006D265E" w:rsidRDefault="00316109" w:rsidP="00316109">
      <w:pPr>
        <w:rPr>
          <w:i/>
          <w:sz w:val="28"/>
          <w:szCs w:val="28"/>
        </w:rPr>
      </w:pPr>
      <w:proofErr w:type="gramStart"/>
      <w:r w:rsidRPr="006D265E">
        <w:rPr>
          <w:i/>
          <w:sz w:val="28"/>
          <w:szCs w:val="28"/>
        </w:rPr>
        <w:t>способствующие</w:t>
      </w:r>
      <w:proofErr w:type="gramEnd"/>
      <w:r w:rsidRPr="006D265E">
        <w:rPr>
          <w:i/>
          <w:sz w:val="28"/>
          <w:szCs w:val="28"/>
        </w:rPr>
        <w:t xml:space="preserve"> проявлению коррупционных </w:t>
      </w:r>
    </w:p>
    <w:p w:rsidR="00316109" w:rsidRPr="006D265E" w:rsidRDefault="00316109" w:rsidP="00316109">
      <w:pPr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 xml:space="preserve">нарушений, не </w:t>
      </w:r>
      <w:proofErr w:type="gramStart"/>
      <w:r w:rsidRPr="006D265E">
        <w:rPr>
          <w:i/>
          <w:sz w:val="28"/>
          <w:szCs w:val="28"/>
        </w:rPr>
        <w:t>выявлены</w:t>
      </w:r>
      <w:proofErr w:type="gramEnd"/>
      <w:r w:rsidRPr="006D265E">
        <w:rPr>
          <w:i/>
          <w:sz w:val="28"/>
          <w:szCs w:val="28"/>
        </w:rPr>
        <w:t xml:space="preserve">. </w:t>
      </w:r>
    </w:p>
    <w:p w:rsidR="00316109" w:rsidRPr="006D265E" w:rsidRDefault="00316109" w:rsidP="00316109">
      <w:pPr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>Правовая и антикоррупционная экспертиза</w:t>
      </w:r>
    </w:p>
    <w:p w:rsidR="00316109" w:rsidRPr="006D265E" w:rsidRDefault="00316109" w:rsidP="00316109">
      <w:pPr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 xml:space="preserve">нормативного правового акта: </w:t>
      </w:r>
    </w:p>
    <w:p w:rsidR="00337593" w:rsidRPr="006D265E" w:rsidRDefault="00316109" w:rsidP="00316109">
      <w:pPr>
        <w:jc w:val="center"/>
        <w:rPr>
          <w:i/>
          <w:sz w:val="28"/>
          <w:szCs w:val="28"/>
        </w:rPr>
      </w:pPr>
      <w:r w:rsidRPr="006D265E">
        <w:rPr>
          <w:i/>
          <w:sz w:val="28"/>
          <w:szCs w:val="28"/>
        </w:rPr>
        <w:t>Прок</w:t>
      </w:r>
      <w:r w:rsidR="006D265E">
        <w:rPr>
          <w:i/>
          <w:sz w:val="28"/>
          <w:szCs w:val="28"/>
        </w:rPr>
        <w:t xml:space="preserve">уратура Чудовского района      </w:t>
      </w:r>
      <w:r w:rsidRPr="006D265E">
        <w:rPr>
          <w:i/>
          <w:sz w:val="28"/>
          <w:szCs w:val="28"/>
        </w:rPr>
        <w:t>___________________________________</w:t>
      </w:r>
    </w:p>
    <w:p w:rsidR="00316109" w:rsidRPr="00316109" w:rsidRDefault="00316109" w:rsidP="00316109">
      <w:pPr>
        <w:jc w:val="center"/>
        <w:rPr>
          <w:sz w:val="28"/>
          <w:szCs w:val="28"/>
        </w:rPr>
      </w:pPr>
    </w:p>
    <w:p w:rsidR="006D265E" w:rsidRDefault="006D265E" w:rsidP="00337593">
      <w:pPr>
        <w:jc w:val="right"/>
        <w:outlineLvl w:val="0"/>
        <w:rPr>
          <w:b/>
          <w:sz w:val="28"/>
          <w:szCs w:val="28"/>
        </w:rPr>
      </w:pPr>
    </w:p>
    <w:p w:rsidR="005E274A" w:rsidRDefault="005E274A" w:rsidP="005E274A">
      <w:pPr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AE2">
        <w:rPr>
          <w:sz w:val="28"/>
          <w:szCs w:val="28"/>
        </w:rPr>
        <w:t>«__»_________</w:t>
      </w:r>
      <w:r>
        <w:rPr>
          <w:sz w:val="28"/>
          <w:szCs w:val="28"/>
        </w:rPr>
        <w:t>20</w:t>
      </w:r>
      <w:r w:rsidR="006D265E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620AE2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265E" w:rsidRPr="00191383" w:rsidRDefault="006D265E" w:rsidP="006D265E">
      <w:pPr>
        <w:shd w:val="clear" w:color="auto" w:fill="FFFFFF"/>
        <w:overflowPunct w:val="0"/>
        <w:spacing w:after="213" w:line="225" w:lineRule="atLeast"/>
        <w:jc w:val="center"/>
        <w:outlineLvl w:val="2"/>
        <w:rPr>
          <w:b/>
          <w:bCs/>
          <w:sz w:val="28"/>
          <w:szCs w:val="28"/>
        </w:rPr>
      </w:pPr>
      <w:r w:rsidRPr="006D265E">
        <w:rPr>
          <w:b/>
          <w:sz w:val="28"/>
          <w:szCs w:val="28"/>
        </w:rPr>
        <w:t>Порядок</w:t>
      </w:r>
      <w:r w:rsidRPr="006D265E">
        <w:rPr>
          <w:b/>
          <w:sz w:val="28"/>
          <w:szCs w:val="28"/>
        </w:rPr>
        <w:br/>
        <w:t>формирования перечня налоговых расходов</w:t>
      </w:r>
      <w:r>
        <w:rPr>
          <w:b/>
          <w:sz w:val="28"/>
          <w:szCs w:val="28"/>
        </w:rPr>
        <w:t xml:space="preserve"> </w:t>
      </w:r>
      <w:r w:rsidRPr="006D265E">
        <w:rPr>
          <w:b/>
          <w:sz w:val="28"/>
          <w:szCs w:val="28"/>
        </w:rPr>
        <w:t xml:space="preserve">и оценки налоговых расходов </w:t>
      </w:r>
      <w:r>
        <w:rPr>
          <w:b/>
          <w:sz w:val="28"/>
          <w:szCs w:val="28"/>
        </w:rPr>
        <w:t>Трегубов</w:t>
      </w:r>
      <w:r w:rsidRPr="006D265E">
        <w:rPr>
          <w:b/>
          <w:sz w:val="28"/>
          <w:szCs w:val="28"/>
        </w:rPr>
        <w:t>ского сельского поселения</w:t>
      </w:r>
    </w:p>
    <w:p w:rsidR="006D265E" w:rsidRPr="00191383" w:rsidRDefault="006D265E" w:rsidP="006D265E">
      <w:pPr>
        <w:shd w:val="clear" w:color="auto" w:fill="FFFFFF"/>
        <w:overflowPunct w:val="0"/>
        <w:spacing w:after="213" w:line="225" w:lineRule="atLeast"/>
        <w:jc w:val="center"/>
        <w:outlineLvl w:val="2"/>
        <w:rPr>
          <w:b/>
          <w:sz w:val="28"/>
          <w:szCs w:val="28"/>
        </w:rPr>
      </w:pPr>
      <w:r w:rsidRPr="00191383">
        <w:rPr>
          <w:b/>
          <w:sz w:val="28"/>
          <w:szCs w:val="28"/>
        </w:rPr>
        <w:t>I. Общие положения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1.</w:t>
      </w:r>
      <w:r w:rsidRPr="00191383">
        <w:rPr>
          <w:bCs/>
          <w:sz w:val="28"/>
          <w:szCs w:val="28"/>
        </w:rPr>
        <w:t> Настоящий Порядок определяет процедуру формирования перечня налоговых расходов</w:t>
      </w:r>
      <w:r>
        <w:rPr>
          <w:sz w:val="28"/>
          <w:szCs w:val="28"/>
        </w:rPr>
        <w:t xml:space="preserve"> </w:t>
      </w:r>
      <w:r w:rsidRPr="00DD62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процедуру </w:t>
      </w:r>
      <w:r w:rsidRPr="00191383">
        <w:rPr>
          <w:bCs/>
          <w:sz w:val="28"/>
          <w:szCs w:val="28"/>
        </w:rPr>
        <w:t>оценки налоговых расходов</w:t>
      </w:r>
      <w:r w:rsidRPr="00DD62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Трегубовского</w:t>
      </w:r>
      <w:r w:rsidRPr="00DD622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(далее - Порядок</w:t>
      </w:r>
      <w:r w:rsidRPr="00191383">
        <w:rPr>
          <w:bCs/>
          <w:sz w:val="28"/>
          <w:szCs w:val="28"/>
        </w:rPr>
        <w:t>).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 оценкой налоговых расходов в целях настоящего Порядка понимается оценка объемов и оценка эффективности бюджетных расходов          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91383">
        <w:rPr>
          <w:bCs/>
          <w:sz w:val="28"/>
          <w:szCs w:val="28"/>
        </w:rPr>
        <w:t>2. В целях настоящего Порядка применяются следующие понятия и термины:</w:t>
      </w:r>
    </w:p>
    <w:p w:rsidR="006D265E" w:rsidRPr="006628C9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proofErr w:type="gramStart"/>
      <w:r w:rsidRPr="00191383">
        <w:rPr>
          <w:bCs/>
          <w:sz w:val="28"/>
          <w:szCs w:val="28"/>
        </w:rPr>
        <w:t xml:space="preserve">налоговые расходы - выпадающие доходы бюджета </w:t>
      </w:r>
      <w:r>
        <w:rPr>
          <w:sz w:val="28"/>
          <w:szCs w:val="28"/>
        </w:rPr>
        <w:t>Трегубовского</w:t>
      </w:r>
      <w:r w:rsidRPr="00DD6229">
        <w:rPr>
          <w:sz w:val="28"/>
          <w:szCs w:val="28"/>
        </w:rPr>
        <w:t xml:space="preserve"> сельского поселения</w:t>
      </w:r>
      <w:r w:rsidRPr="00DD6229">
        <w:rPr>
          <w:bCs/>
          <w:sz w:val="28"/>
          <w:szCs w:val="28"/>
        </w:rPr>
        <w:t xml:space="preserve">, </w:t>
      </w:r>
      <w:r w:rsidRPr="00191383">
        <w:rPr>
          <w:bCs/>
          <w:sz w:val="28"/>
          <w:szCs w:val="28"/>
        </w:rPr>
        <w:t xml:space="preserve">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 и (или) целями социально-экономической политики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, не относящимися к муниципальным программам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>;</w:t>
      </w:r>
      <w:proofErr w:type="gramEnd"/>
    </w:p>
    <w:p w:rsidR="006D265E" w:rsidRPr="006628C9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proofErr w:type="gramStart"/>
      <w:r w:rsidRPr="00191383">
        <w:rPr>
          <w:bCs/>
          <w:sz w:val="28"/>
          <w:szCs w:val="28"/>
        </w:rPr>
        <w:t xml:space="preserve">куратор налогового расхода - ответственный исполнитель муниципальной программы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 (ее структурных элементов) и (или) целей социально-экономического развития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>;</w:t>
      </w:r>
      <w:proofErr w:type="gramEnd"/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, реализуемым в рамках нескольких муниципальных программ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  (муниципальных программ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 и непрограммных направлений деятельности</w:t>
      </w:r>
      <w:r w:rsidRPr="00191383">
        <w:rPr>
          <w:bCs/>
          <w:sz w:val="28"/>
          <w:szCs w:val="28"/>
        </w:rPr>
        <w:t>);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социальные налоговые расходы - целевая категория налоговых </w:t>
      </w:r>
      <w:r w:rsidRPr="00191383">
        <w:rPr>
          <w:bCs/>
          <w:sz w:val="28"/>
          <w:szCs w:val="28"/>
        </w:rPr>
        <w:lastRenderedPageBreak/>
        <w:t>расходов, включающая налоговые расходы, предоставляемые отдельным социально неза</w:t>
      </w:r>
      <w:r>
        <w:rPr>
          <w:bCs/>
          <w:sz w:val="28"/>
          <w:szCs w:val="28"/>
        </w:rPr>
        <w:t>щищенным группам населения</w:t>
      </w:r>
      <w:r w:rsidRPr="00191383">
        <w:rPr>
          <w:bCs/>
          <w:sz w:val="28"/>
          <w:szCs w:val="28"/>
        </w:rPr>
        <w:t>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>;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Pr="006628C9">
        <w:rPr>
          <w:sz w:val="28"/>
          <w:szCs w:val="28"/>
        </w:rPr>
        <w:t xml:space="preserve"> сельского поселения</w:t>
      </w:r>
      <w:r w:rsidRPr="00191383">
        <w:rPr>
          <w:bCs/>
          <w:sz w:val="28"/>
          <w:szCs w:val="28"/>
        </w:rPr>
        <w:t>;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характеристики налогового расходов – наименование налогового расхода, категории получателей, условия представления, срок действия, целевая категория налогового расхода, а также иные характеристики, предусмотренные разделом</w:t>
      </w:r>
      <w:r w:rsidRPr="000839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приложения к настоящему Порядку; </w:t>
      </w:r>
    </w:p>
    <w:p w:rsidR="006D265E" w:rsidRPr="000839A4" w:rsidRDefault="006D265E" w:rsidP="006D265E">
      <w:pPr>
        <w:shd w:val="clear" w:color="auto" w:fill="FFFFFF"/>
        <w:overflowPunct w:val="0"/>
        <w:ind w:firstLine="7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характеристики  налогового расхода – цели предоставления, показатели (индикаторы) достижения целей предоставления  налогового расходов, а также иные характеристики, предусмотренные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приложения к настоящему  Порядку;</w:t>
      </w:r>
    </w:p>
    <w:p w:rsidR="006D265E" w:rsidRDefault="006D265E" w:rsidP="006D265E">
      <w:pPr>
        <w:shd w:val="clear" w:color="auto" w:fill="FFFFFF"/>
        <w:overflowPunct w:val="0"/>
        <w:ind w:firstLine="708"/>
        <w:jc w:val="both"/>
        <w:rPr>
          <w:sz w:val="28"/>
          <w:szCs w:val="28"/>
        </w:rPr>
      </w:pPr>
      <w:r w:rsidRPr="00191383">
        <w:rPr>
          <w:bCs/>
          <w:sz w:val="28"/>
          <w:szCs w:val="28"/>
        </w:rPr>
        <w:t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</w:t>
      </w:r>
      <w:r>
        <w:rPr>
          <w:bCs/>
          <w:sz w:val="28"/>
          <w:szCs w:val="28"/>
        </w:rPr>
        <w:t xml:space="preserve">ями налоговых расходов, в бюджет </w:t>
      </w:r>
      <w:r w:rsidRPr="006628C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proofErr w:type="gramStart"/>
      <w:r w:rsidRPr="00191383">
        <w:rPr>
          <w:bCs/>
          <w:sz w:val="28"/>
          <w:szCs w:val="28"/>
        </w:rPr>
        <w:t>перечень нало</w:t>
      </w:r>
      <w:r>
        <w:rPr>
          <w:bCs/>
          <w:sz w:val="28"/>
          <w:szCs w:val="28"/>
        </w:rPr>
        <w:t xml:space="preserve">говых расходов - свод </w:t>
      </w:r>
      <w:r w:rsidRPr="00191383">
        <w:rPr>
          <w:bCs/>
          <w:sz w:val="28"/>
          <w:szCs w:val="28"/>
        </w:rPr>
        <w:t xml:space="preserve"> налоговых расходов в разрезе муниципальных программ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 xml:space="preserve">, их структурных элементов, а также направлений деятельности, не входящих в муниципальные программы </w:t>
      </w:r>
      <w:r>
        <w:rPr>
          <w:sz w:val="28"/>
          <w:szCs w:val="28"/>
        </w:rPr>
        <w:t>Трегубовского</w:t>
      </w:r>
      <w:r w:rsidRPr="006628C9">
        <w:rPr>
          <w:sz w:val="28"/>
          <w:szCs w:val="28"/>
        </w:rPr>
        <w:t xml:space="preserve"> сельского поселения</w:t>
      </w:r>
      <w:r w:rsidRPr="006628C9">
        <w:rPr>
          <w:bCs/>
          <w:sz w:val="28"/>
          <w:szCs w:val="28"/>
        </w:rPr>
        <w:t>, курато</w:t>
      </w:r>
      <w:r w:rsidRPr="00191383">
        <w:rPr>
          <w:bCs/>
          <w:sz w:val="28"/>
          <w:szCs w:val="28"/>
        </w:rPr>
        <w:t>ров налоговых расходов,</w:t>
      </w:r>
      <w:r>
        <w:rPr>
          <w:bCs/>
          <w:sz w:val="28"/>
          <w:szCs w:val="28"/>
        </w:rPr>
        <w:t xml:space="preserve"> </w:t>
      </w:r>
      <w:r w:rsidRPr="00191383">
        <w:rPr>
          <w:bCs/>
          <w:sz w:val="28"/>
          <w:szCs w:val="28"/>
        </w:rPr>
        <w:t>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  <w:proofErr w:type="gramEnd"/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6D265E" w:rsidRPr="003C6FAB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91383">
        <w:rPr>
          <w:bCs/>
          <w:sz w:val="28"/>
          <w:szCs w:val="28"/>
        </w:rPr>
        <w:t xml:space="preserve">3. В целях оценки налоговых расходов </w:t>
      </w:r>
      <w:r>
        <w:rPr>
          <w:sz w:val="28"/>
          <w:szCs w:val="28"/>
        </w:rPr>
        <w:t>Трегубовского</w:t>
      </w:r>
      <w:r w:rsidRPr="003C6FA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3C6FA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C6FAB">
        <w:rPr>
          <w:bCs/>
          <w:sz w:val="28"/>
          <w:szCs w:val="28"/>
        </w:rPr>
        <w:t>:</w:t>
      </w:r>
    </w:p>
    <w:p w:rsidR="006D265E" w:rsidRPr="003C6FAB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3C6FAB">
        <w:rPr>
          <w:bCs/>
          <w:sz w:val="28"/>
          <w:szCs w:val="28"/>
        </w:rPr>
        <w:t>формирует перечень налоговых расходов;</w:t>
      </w:r>
    </w:p>
    <w:p w:rsidR="006D265E" w:rsidRPr="003C6FAB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3C6FAB">
        <w:rPr>
          <w:bCs/>
          <w:sz w:val="28"/>
          <w:szCs w:val="28"/>
        </w:rPr>
        <w:t>ведет реестр налоговых расходов;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3C6FAB">
        <w:rPr>
          <w:bCs/>
          <w:sz w:val="28"/>
          <w:szCs w:val="28"/>
        </w:rPr>
        <w:lastRenderedPageBreak/>
        <w:t>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6D265E" w:rsidRPr="003C6FAB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обобщение результатов оценки эффективности налоговых  расходов, проводимой кураторами налоговых расходов;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C6FAB">
        <w:rPr>
          <w:bCs/>
          <w:sz w:val="28"/>
          <w:szCs w:val="28"/>
        </w:rPr>
        <w:t xml:space="preserve">4. В целях </w:t>
      </w:r>
      <w:r>
        <w:rPr>
          <w:bCs/>
          <w:sz w:val="28"/>
          <w:szCs w:val="28"/>
        </w:rPr>
        <w:t xml:space="preserve">оценки налоговых расходов </w:t>
      </w:r>
      <w:r>
        <w:rPr>
          <w:sz w:val="28"/>
          <w:szCs w:val="28"/>
        </w:rPr>
        <w:t xml:space="preserve">Трегубовского </w:t>
      </w:r>
      <w:r w:rsidRPr="003C6F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отношении каждого налогового расхода </w:t>
      </w:r>
      <w:r w:rsidRPr="001913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формирует</w:t>
      </w:r>
      <w:r w:rsidRPr="00191383">
        <w:rPr>
          <w:bCs/>
          <w:sz w:val="28"/>
          <w:szCs w:val="28"/>
        </w:rPr>
        <w:t xml:space="preserve">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91383">
        <w:rPr>
          <w:bCs/>
          <w:sz w:val="28"/>
          <w:szCs w:val="28"/>
        </w:rPr>
        <w:t>5. В целях оценки налоговых расходов кураторы налоговых расходов: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формируют паспорта налоговых расходов, содержащие информацию по перечню согласно приложению к настоящему Порядку;</w:t>
      </w:r>
    </w:p>
    <w:p w:rsidR="006D265E" w:rsidRPr="00191383" w:rsidRDefault="006D265E" w:rsidP="006D265E">
      <w:pPr>
        <w:shd w:val="clear" w:color="auto" w:fill="FFFFFF"/>
        <w:overflowPunct w:val="0"/>
        <w:ind w:firstLine="708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 осуществляют оценку эффективности каждого курируемого налогового расхода и направляют результаты такой оценки в </w:t>
      </w:r>
      <w:r>
        <w:rPr>
          <w:bCs/>
          <w:sz w:val="28"/>
          <w:szCs w:val="28"/>
        </w:rPr>
        <w:t>сельское поселение</w:t>
      </w:r>
      <w:r w:rsidRPr="00191383">
        <w:rPr>
          <w:bCs/>
          <w:sz w:val="28"/>
          <w:szCs w:val="28"/>
        </w:rPr>
        <w:t>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</w:p>
    <w:p w:rsidR="006D265E" w:rsidRPr="00191383" w:rsidRDefault="006D265E" w:rsidP="006D265E">
      <w:pPr>
        <w:shd w:val="clear" w:color="auto" w:fill="FFFFFF"/>
        <w:overflowPunct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91383">
        <w:rPr>
          <w:b/>
          <w:sz w:val="28"/>
          <w:szCs w:val="28"/>
        </w:rPr>
        <w:t xml:space="preserve"> Формирование перечня налоговых расходов. </w:t>
      </w:r>
    </w:p>
    <w:p w:rsidR="006D265E" w:rsidRPr="00191383" w:rsidRDefault="006D265E" w:rsidP="006D265E">
      <w:pPr>
        <w:shd w:val="clear" w:color="auto" w:fill="FFFFFF"/>
        <w:overflowPunct w:val="0"/>
        <w:outlineLvl w:val="2"/>
        <w:rPr>
          <w:b/>
          <w:sz w:val="28"/>
          <w:szCs w:val="28"/>
        </w:rPr>
      </w:pPr>
    </w:p>
    <w:p w:rsidR="006D265E" w:rsidRDefault="006D265E" w:rsidP="006D265E">
      <w:pPr>
        <w:shd w:val="clear" w:color="auto" w:fill="FFFFFF"/>
        <w:overflowPunct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 Перечень</w:t>
      </w:r>
      <w:r w:rsidRPr="00191383">
        <w:rPr>
          <w:bCs/>
          <w:sz w:val="28"/>
          <w:szCs w:val="28"/>
        </w:rPr>
        <w:t xml:space="preserve"> налоговых расходов на очередной финансовый год и </w:t>
      </w:r>
      <w:r w:rsidR="00C7515C">
        <w:rPr>
          <w:bCs/>
          <w:sz w:val="28"/>
          <w:szCs w:val="28"/>
        </w:rPr>
        <w:t>плановый период разрабатывается</w:t>
      </w:r>
      <w:r>
        <w:rPr>
          <w:sz w:val="28"/>
          <w:szCs w:val="28"/>
        </w:rPr>
        <w:t xml:space="preserve"> </w:t>
      </w:r>
      <w:r w:rsidR="00C7515C">
        <w:rPr>
          <w:sz w:val="28"/>
          <w:szCs w:val="28"/>
        </w:rPr>
        <w:t>Трегубовского</w:t>
      </w:r>
      <w:r w:rsidR="00C7515C" w:rsidRPr="00AB6917">
        <w:rPr>
          <w:sz w:val="28"/>
          <w:szCs w:val="28"/>
        </w:rPr>
        <w:t xml:space="preserve"> </w:t>
      </w:r>
      <w:r w:rsidRPr="00AB6917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AB69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B69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ежегодно в срок до 30</w:t>
      </w:r>
      <w:r w:rsidRPr="00AB6917">
        <w:rPr>
          <w:bCs/>
          <w:sz w:val="28"/>
          <w:szCs w:val="28"/>
        </w:rPr>
        <w:t> марта текущего финансового года.</w:t>
      </w:r>
      <w:r>
        <w:rPr>
          <w:bCs/>
          <w:sz w:val="28"/>
          <w:szCs w:val="28"/>
        </w:rPr>
        <w:t xml:space="preserve"> Перечень налоговых расходов размещается на официальном сайте </w:t>
      </w:r>
      <w:r w:rsidR="00C7515C">
        <w:rPr>
          <w:sz w:val="28"/>
          <w:szCs w:val="28"/>
        </w:rPr>
        <w:t>Трегубовского</w:t>
      </w:r>
      <w:r w:rsidR="00C7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поселения.</w:t>
      </w:r>
    </w:p>
    <w:p w:rsidR="006D265E" w:rsidRDefault="006D265E" w:rsidP="006D265E">
      <w:pPr>
        <w:shd w:val="clear" w:color="auto" w:fill="FFFFFF"/>
        <w:overflowPunct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C7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 и (или) изменения полномочий  органов, организаций, указанных в подпункте 2.1. пункта  2 Порядка, затрагивающих перечень налоговых  расходов, в срок не позднее 10 рабочих дней </w:t>
      </w:r>
      <w:proofErr w:type="gramStart"/>
      <w:r>
        <w:rPr>
          <w:bCs/>
          <w:sz w:val="28"/>
          <w:szCs w:val="28"/>
        </w:rPr>
        <w:t>с даты</w:t>
      </w:r>
      <w:proofErr w:type="gramEnd"/>
      <w:r>
        <w:rPr>
          <w:bCs/>
          <w:sz w:val="28"/>
          <w:szCs w:val="28"/>
        </w:rPr>
        <w:t xml:space="preserve"> соответствующих изменений вносятся уточнения указанного перечня.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Pr="00191383">
        <w:rPr>
          <w:bCs/>
          <w:sz w:val="28"/>
          <w:szCs w:val="28"/>
        </w:rPr>
        <w:t> </w:t>
      </w:r>
      <w:proofErr w:type="gramStart"/>
      <w:r w:rsidRPr="00191383">
        <w:rPr>
          <w:bCs/>
          <w:sz w:val="28"/>
          <w:szCs w:val="28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</w:t>
      </w:r>
      <w:proofErr w:type="gramEnd"/>
      <w:r w:rsidRPr="00EE2F5C">
        <w:rPr>
          <w:sz w:val="28"/>
          <w:szCs w:val="28"/>
        </w:rPr>
        <w:t xml:space="preserve"> поселения</w:t>
      </w:r>
      <w:r w:rsidRPr="00EE2F5C">
        <w:rPr>
          <w:bCs/>
          <w:sz w:val="28"/>
          <w:szCs w:val="28"/>
        </w:rPr>
        <w:t xml:space="preserve"> на очередной фи</w:t>
      </w:r>
      <w:r w:rsidRPr="00191383">
        <w:rPr>
          <w:bCs/>
          <w:sz w:val="28"/>
          <w:szCs w:val="28"/>
        </w:rPr>
        <w:t>нансовый год и плановый период).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Реестр налоговых расходов формируется и ведется в порядке, установленном </w:t>
      </w:r>
      <w:r w:rsidR="00C7515C">
        <w:rPr>
          <w:sz w:val="28"/>
          <w:szCs w:val="28"/>
        </w:rPr>
        <w:t>Трегубовского</w:t>
      </w:r>
      <w:r w:rsidR="00C75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</w:p>
    <w:p w:rsidR="006D265E" w:rsidRPr="00191383" w:rsidRDefault="006D265E" w:rsidP="006D265E">
      <w:pPr>
        <w:shd w:val="clear" w:color="auto" w:fill="FFFFFF"/>
        <w:overflowPunct w:val="0"/>
        <w:spacing w:after="213" w:line="225" w:lineRule="atLeas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91383">
        <w:rPr>
          <w:b/>
          <w:sz w:val="28"/>
          <w:szCs w:val="28"/>
        </w:rPr>
        <w:t>Оценка эффективности налоговых расходов</w:t>
      </w:r>
    </w:p>
    <w:p w:rsidR="006D265E" w:rsidRPr="00EE2F5C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</w:t>
      </w:r>
      <w:r w:rsidRPr="00191383">
        <w:rPr>
          <w:bCs/>
          <w:sz w:val="28"/>
          <w:szCs w:val="28"/>
        </w:rPr>
        <w:t xml:space="preserve">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>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191383">
        <w:rPr>
          <w:bCs/>
          <w:sz w:val="28"/>
          <w:szCs w:val="28"/>
        </w:rPr>
        <w:t>. В целях оценки эффективности налоговых расходов:</w:t>
      </w:r>
    </w:p>
    <w:p w:rsidR="006D265E" w:rsidRPr="00191383" w:rsidRDefault="006D265E" w:rsidP="00C7515C">
      <w:pPr>
        <w:shd w:val="clear" w:color="auto" w:fill="FFFFFF"/>
        <w:overflowPunct w:val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Главный специалист </w:t>
      </w:r>
      <w:r w:rsidR="00C7515C">
        <w:rPr>
          <w:sz w:val="28"/>
          <w:szCs w:val="28"/>
        </w:rPr>
        <w:t xml:space="preserve">Трегубовского </w:t>
      </w:r>
      <w:r>
        <w:rPr>
          <w:sz w:val="28"/>
          <w:szCs w:val="28"/>
        </w:rPr>
        <w:t xml:space="preserve">сельского </w:t>
      </w:r>
      <w:r w:rsidRPr="00EE2F5C">
        <w:rPr>
          <w:sz w:val="28"/>
          <w:szCs w:val="28"/>
        </w:rPr>
        <w:t xml:space="preserve"> поселения</w:t>
      </w:r>
      <w:r w:rsidRPr="00191383">
        <w:rPr>
          <w:bCs/>
          <w:sz w:val="28"/>
          <w:szCs w:val="28"/>
        </w:rPr>
        <w:t xml:space="preserve">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кураторы налоговых расходов на основе сформированного и размеще</w:t>
      </w:r>
      <w:r>
        <w:rPr>
          <w:bCs/>
          <w:sz w:val="28"/>
          <w:szCs w:val="28"/>
        </w:rPr>
        <w:t>нного в соответствии с подпунктом 2.1.</w:t>
      </w:r>
      <w:r w:rsidRPr="001913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пункта 2 </w:t>
      </w:r>
      <w:r w:rsidRPr="00191383">
        <w:rPr>
          <w:bCs/>
          <w:sz w:val="28"/>
          <w:szCs w:val="28"/>
        </w:rPr>
        <w:t>настоящего Порядка перечня налоговых рас</w:t>
      </w:r>
      <w:r>
        <w:rPr>
          <w:bCs/>
          <w:sz w:val="28"/>
          <w:szCs w:val="28"/>
        </w:rPr>
        <w:t xml:space="preserve">ходов </w:t>
      </w:r>
      <w:r w:rsidRPr="00191383">
        <w:rPr>
          <w:bCs/>
          <w:sz w:val="28"/>
          <w:szCs w:val="28"/>
        </w:rPr>
        <w:t xml:space="preserve"> формируют паспорта налоговых расходов и в срок до 15 июля представляют их в </w:t>
      </w:r>
      <w:r w:rsidRPr="00EE2F5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                   </w:t>
      </w:r>
      <w:r w:rsidRPr="00EE2F5C">
        <w:rPr>
          <w:sz w:val="28"/>
          <w:szCs w:val="28"/>
        </w:rPr>
        <w:t xml:space="preserve"> </w:t>
      </w:r>
      <w:r w:rsidR="00C7515C">
        <w:rPr>
          <w:sz w:val="28"/>
          <w:szCs w:val="28"/>
        </w:rPr>
        <w:t>Трегубовского</w:t>
      </w:r>
      <w:r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>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Pr="00191383">
        <w:rPr>
          <w:bCs/>
          <w:sz w:val="28"/>
          <w:szCs w:val="28"/>
        </w:rPr>
        <w:t>. Оценка эффективности налоговых расходо</w:t>
      </w:r>
      <w:r>
        <w:rPr>
          <w:bCs/>
          <w:sz w:val="28"/>
          <w:szCs w:val="28"/>
        </w:rPr>
        <w:t>в</w:t>
      </w:r>
      <w:r w:rsidR="00C7515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том числе нераспределённых) </w:t>
      </w:r>
      <w:r w:rsidRPr="00191383">
        <w:rPr>
          <w:bCs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оценку целесообразности предоставления налоговых расходов;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оценку результативности налоговых расходов.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191383">
        <w:rPr>
          <w:bCs/>
          <w:sz w:val="28"/>
          <w:szCs w:val="28"/>
        </w:rPr>
        <w:t>. Критериями целесообразности осуществления налоговых расходов являются: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соответствие налоговых расходо</w:t>
      </w:r>
      <w:r>
        <w:rPr>
          <w:bCs/>
          <w:sz w:val="28"/>
          <w:szCs w:val="28"/>
        </w:rPr>
        <w:t>в</w:t>
      </w:r>
      <w:r w:rsidR="00C7515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 том числе нераспределенным) </w:t>
      </w:r>
      <w:r w:rsidRPr="00191383">
        <w:rPr>
          <w:bCs/>
          <w:sz w:val="28"/>
          <w:szCs w:val="28"/>
        </w:rPr>
        <w:t xml:space="preserve"> целям и задачам муниципальных программ (их структурных элементов) или иным целям социально-экономической политики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 xml:space="preserve"> (в отношении</w:t>
      </w:r>
      <w:r w:rsidRPr="00191383">
        <w:rPr>
          <w:bCs/>
          <w:sz w:val="28"/>
          <w:szCs w:val="28"/>
        </w:rPr>
        <w:t xml:space="preserve"> непрограммных налоговых расходов);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proofErr w:type="spellStart"/>
      <w:r w:rsidRPr="00191383">
        <w:rPr>
          <w:bCs/>
          <w:sz w:val="28"/>
          <w:szCs w:val="28"/>
        </w:rPr>
        <w:t>востребованность</w:t>
      </w:r>
      <w:proofErr w:type="spellEnd"/>
      <w:r w:rsidRPr="001913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предоставляемой налоговой </w:t>
      </w:r>
      <w:r w:rsidRPr="00191383">
        <w:rPr>
          <w:bCs/>
          <w:sz w:val="28"/>
          <w:szCs w:val="28"/>
        </w:rPr>
        <w:t>льготы, освобождения или иной преференции.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191383">
        <w:rPr>
          <w:bCs/>
          <w:sz w:val="28"/>
          <w:szCs w:val="28"/>
        </w:rPr>
        <w:t>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3.6.В качестве критериев результативности определяется не менее одного показателя (индикатора):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 муниципальным программам), на </w:t>
      </w:r>
      <w:proofErr w:type="gramStart"/>
      <w:r>
        <w:rPr>
          <w:bCs/>
          <w:sz w:val="28"/>
          <w:szCs w:val="28"/>
        </w:rPr>
        <w:lastRenderedPageBreak/>
        <w:t>значение</w:t>
      </w:r>
      <w:proofErr w:type="gramEnd"/>
      <w:r>
        <w:rPr>
          <w:bCs/>
          <w:sz w:val="28"/>
          <w:szCs w:val="28"/>
        </w:rPr>
        <w:t xml:space="preserve"> которого оказывает влияние рассматриваемый налоговый расход;</w:t>
      </w:r>
    </w:p>
    <w:p w:rsidR="006D265E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иного показателя (индикатора), непосредственным образом связанного с целями 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3.7.Оценке подлежат вклад соответствующего налогового расхода 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Pr="00191383">
        <w:rPr>
          <w:bCs/>
          <w:sz w:val="28"/>
          <w:szCs w:val="28"/>
        </w:rPr>
        <w:t>. В целях проведения оценки бюджетной эффективности налоговых расходов осуществляется: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proofErr w:type="gramStart"/>
      <w:r w:rsidRPr="00191383">
        <w:rPr>
          <w:bCs/>
          <w:sz w:val="28"/>
          <w:szCs w:val="28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191383">
        <w:rPr>
          <w:bCs/>
          <w:sz w:val="28"/>
          <w:szCs w:val="28"/>
        </w:rPr>
        <w:t>затратности</w:t>
      </w:r>
      <w:proofErr w:type="spellEnd"/>
      <w:r w:rsidRPr="00191383">
        <w:rPr>
          <w:bCs/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191383">
        <w:rPr>
          <w:bCs/>
          <w:sz w:val="28"/>
          <w:szCs w:val="28"/>
        </w:rPr>
        <w:t>качестве альтернативных механизмов могут учитываться в том числе: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>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предоставление муниципальных гарантий </w:t>
      </w:r>
      <w:r w:rsidR="00C7515C">
        <w:rPr>
          <w:sz w:val="28"/>
          <w:szCs w:val="28"/>
        </w:rPr>
        <w:t>Трегубовского</w:t>
      </w:r>
      <w:r w:rsidR="00C7515C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 xml:space="preserve"> по обязательствам с</w:t>
      </w:r>
      <w:r w:rsidRPr="00191383">
        <w:rPr>
          <w:bCs/>
          <w:sz w:val="28"/>
          <w:szCs w:val="28"/>
        </w:rPr>
        <w:t>оответствующих категорий налогоплательщиков;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3.8.2.</w:t>
      </w:r>
      <w:r w:rsidRPr="00191383">
        <w:rPr>
          <w:bCs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8" w:anchor="1" w:history="1">
        <w:r w:rsidRPr="00191383">
          <w:rPr>
            <w:bCs/>
            <w:sz w:val="28"/>
            <w:szCs w:val="28"/>
            <w:u w:val="single"/>
          </w:rPr>
          <w:t>*(1):</w:t>
        </w:r>
      </w:hyperlink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,</w:t>
      </w:r>
      <w:r w:rsidR="005E274A" w:rsidRPr="0094627D"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5" type="#_x0000_t75" alt="https://www.garant.ru/files/9/9/1221399/pict63-56662964.png" style="width:216.75pt;height:40.5pt;visibility:visible">
            <v:imagedata r:id="rId9" o:title="pict63-56662964"/>
          </v:shape>
        </w:pict>
      </w:r>
      <w:r w:rsidRPr="00191383">
        <w:rPr>
          <w:bCs/>
          <w:sz w:val="28"/>
          <w:szCs w:val="28"/>
        </w:rPr>
        <w:t> ,</w:t>
      </w:r>
    </w:p>
    <w:p w:rsidR="006D265E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где:</w:t>
      </w:r>
    </w:p>
    <w:p w:rsidR="006D265E" w:rsidRDefault="006D265E" w:rsidP="006D265E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порядковый номер года, имеющий значение от 1 до 5;</w:t>
      </w:r>
    </w:p>
    <w:p w:rsidR="006D265E" w:rsidRDefault="006D265E" w:rsidP="006D265E">
      <w:pPr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D265E" w:rsidRDefault="006D265E" w:rsidP="006D265E">
      <w:pPr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</w:p>
    <w:p w:rsidR="006D265E" w:rsidRPr="00191383" w:rsidRDefault="005E274A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94627D">
        <w:rPr>
          <w:bCs/>
          <w:noProof/>
          <w:sz w:val="28"/>
          <w:szCs w:val="28"/>
        </w:rPr>
        <w:lastRenderedPageBreak/>
        <w:pict>
          <v:shape id="Рисунок 19" o:spid="_x0000_i1026" type="#_x0000_t75" alt="https://www.garant.ru/files/9/9/1221399/pict64-56662964.png" style="width:18pt;height:18pt;visibility:visible">
            <v:imagedata r:id="rId10" o:title="pict64-56662964"/>
          </v:shape>
        </w:pict>
      </w:r>
      <w:r w:rsidR="006D265E" w:rsidRPr="00191383">
        <w:rPr>
          <w:bCs/>
          <w:sz w:val="28"/>
          <w:szCs w:val="28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="006D265E">
        <w:rPr>
          <w:sz w:val="28"/>
          <w:szCs w:val="28"/>
        </w:rPr>
        <w:t xml:space="preserve">Администрации         </w:t>
      </w:r>
      <w:r w:rsidR="006D265E" w:rsidRPr="00EE2F5C">
        <w:rPr>
          <w:sz w:val="28"/>
          <w:szCs w:val="28"/>
        </w:rPr>
        <w:t xml:space="preserve"> сельского поселения</w:t>
      </w:r>
      <w:r w:rsidR="006D265E" w:rsidRPr="00191383">
        <w:rPr>
          <w:bCs/>
          <w:sz w:val="28"/>
          <w:szCs w:val="28"/>
        </w:rPr>
        <w:t xml:space="preserve"> от j-го налогоплательщика - бенефициара налогового расхода в </w:t>
      </w:r>
      <w:proofErr w:type="spellStart"/>
      <w:r w:rsidR="006D265E" w:rsidRPr="00191383">
        <w:rPr>
          <w:bCs/>
          <w:sz w:val="28"/>
          <w:szCs w:val="28"/>
        </w:rPr>
        <w:t>i-ом</w:t>
      </w:r>
      <w:proofErr w:type="spellEnd"/>
      <w:r w:rsidR="006D265E" w:rsidRPr="00191383">
        <w:rPr>
          <w:bCs/>
          <w:sz w:val="28"/>
          <w:szCs w:val="28"/>
        </w:rPr>
        <w:t xml:space="preserve"> году.</w:t>
      </w:r>
    </w:p>
    <w:p w:rsidR="006D265E" w:rsidRPr="00EE2F5C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</w:t>
      </w:r>
      <w:r>
        <w:rPr>
          <w:bCs/>
          <w:sz w:val="28"/>
          <w:szCs w:val="28"/>
        </w:rPr>
        <w:t>ых расходов, в</w:t>
      </w:r>
      <w:r w:rsidRPr="00191383">
        <w:rPr>
          <w:bCs/>
          <w:sz w:val="28"/>
          <w:szCs w:val="28"/>
        </w:rPr>
        <w:t xml:space="preserve"> бюджет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 xml:space="preserve"> от налогоплательщиков </w:t>
      </w:r>
      <w:proofErr w:type="gramStart"/>
      <w:r w:rsidRPr="00191383">
        <w:rPr>
          <w:bCs/>
          <w:sz w:val="28"/>
          <w:szCs w:val="28"/>
        </w:rPr>
        <w:t>-б</w:t>
      </w:r>
      <w:proofErr w:type="gramEnd"/>
      <w:r w:rsidRPr="00191383">
        <w:rPr>
          <w:bCs/>
          <w:sz w:val="28"/>
          <w:szCs w:val="28"/>
        </w:rPr>
        <w:t xml:space="preserve"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>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- базовый объем налогов, сборов и платежей, задекларированных для уплаты получателями налоговых расходов, в консо</w:t>
      </w:r>
      <w:r>
        <w:rPr>
          <w:bCs/>
          <w:sz w:val="28"/>
          <w:szCs w:val="28"/>
        </w:rPr>
        <w:t>лидированный бюджет  сельского поселения</w:t>
      </w:r>
      <w:r w:rsidRPr="00191383">
        <w:rPr>
          <w:bCs/>
          <w:sz w:val="28"/>
          <w:szCs w:val="28"/>
        </w:rPr>
        <w:t xml:space="preserve"> от j-го налогоплательщика - бенефициара налогового расхода в базовом году, рассчитываемый по формуле:</w:t>
      </w:r>
    </w:p>
    <w:p w:rsidR="006D265E" w:rsidRPr="00191383" w:rsidRDefault="005E274A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94627D">
        <w:rPr>
          <w:bCs/>
          <w:noProof/>
          <w:sz w:val="28"/>
          <w:szCs w:val="28"/>
        </w:rPr>
        <w:pict>
          <v:shape id="Рисунок 20" o:spid="_x0000_i1027" type="#_x0000_t75" alt="https://www.garant.ru/files/9/9/1221399/pict65-56662964.png" style="width:118.5pt;height:23.25pt;visibility:visible">
            <v:imagedata r:id="rId11" o:title="pict65-56662964"/>
          </v:shape>
        </w:pict>
      </w:r>
      <w:r w:rsidR="006D265E" w:rsidRPr="00191383">
        <w:rPr>
          <w:bCs/>
          <w:sz w:val="28"/>
          <w:szCs w:val="28"/>
        </w:rPr>
        <w:t> ,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где:</w:t>
      </w:r>
    </w:p>
    <w:p w:rsidR="006D265E" w:rsidRPr="00191383" w:rsidRDefault="005E274A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94627D">
        <w:rPr>
          <w:bCs/>
          <w:noProof/>
          <w:sz w:val="28"/>
          <w:szCs w:val="28"/>
        </w:rPr>
        <w:pict>
          <v:shape id="Рисунок 21" o:spid="_x0000_i1028" type="#_x0000_t75" alt="https://www.garant.ru/files/9/9/1221399/pict66-56662964.png" style="width:23.25pt;height:18pt;visibility:visible">
            <v:imagedata r:id="rId12" o:title="pict66-56662964"/>
          </v:shape>
        </w:pict>
      </w:r>
      <w:r w:rsidR="006D265E" w:rsidRPr="00191383">
        <w:rPr>
          <w:bCs/>
          <w:sz w:val="28"/>
          <w:szCs w:val="28"/>
        </w:rPr>
        <w:t> - объем налогов, сборов и платежей, задекларированных для уплаты получателями налоговых расходо</w:t>
      </w:r>
      <w:r w:rsidR="006D265E">
        <w:rPr>
          <w:bCs/>
          <w:sz w:val="28"/>
          <w:szCs w:val="28"/>
        </w:rPr>
        <w:t>в, в консолидированный бюджет     сельского поселения</w:t>
      </w:r>
      <w:r w:rsidR="006D265E" w:rsidRPr="00191383">
        <w:rPr>
          <w:bCs/>
          <w:sz w:val="28"/>
          <w:szCs w:val="28"/>
        </w:rPr>
        <w:t xml:space="preserve"> от j-го налогоплательщика - бенефициара налогового расхода в базовом году;</w:t>
      </w:r>
    </w:p>
    <w:p w:rsidR="006D265E" w:rsidRPr="00191383" w:rsidRDefault="005E274A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94627D">
        <w:rPr>
          <w:bCs/>
          <w:noProof/>
          <w:sz w:val="28"/>
          <w:szCs w:val="28"/>
        </w:rPr>
        <w:pict>
          <v:shape id="Рисунок 22" o:spid="_x0000_i1029" type="#_x0000_t75" alt="https://www.garant.ru/files/9/9/1221399/pict67-56662964.png" style="width:18.75pt;height:18pt;visibility:visible">
            <v:imagedata r:id="rId13" o:title="pict67-56662964"/>
          </v:shape>
        </w:pict>
      </w:r>
      <w:r w:rsidR="006D265E" w:rsidRPr="00191383">
        <w:rPr>
          <w:bCs/>
          <w:sz w:val="28"/>
          <w:szCs w:val="28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191383">
        <w:rPr>
          <w:bCs/>
          <w:sz w:val="28"/>
          <w:szCs w:val="28"/>
        </w:rPr>
        <w:t>-б</w:t>
      </w:r>
      <w:proofErr w:type="gramEnd"/>
      <w:r w:rsidRPr="00191383">
        <w:rPr>
          <w:bCs/>
          <w:sz w:val="28"/>
          <w:szCs w:val="28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proofErr w:type="gramStart"/>
      <w:r w:rsidRPr="00191383">
        <w:rPr>
          <w:bCs/>
          <w:sz w:val="28"/>
          <w:szCs w:val="28"/>
        </w:rPr>
        <w:t xml:space="preserve">- номинальный темп прироста налоговых доходов консолидированного бюджета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 xml:space="preserve"> в </w:t>
      </w:r>
      <w:proofErr w:type="spellStart"/>
      <w:r w:rsidRPr="00191383">
        <w:rPr>
          <w:bCs/>
          <w:sz w:val="28"/>
          <w:szCs w:val="28"/>
        </w:rPr>
        <w:t>i-ом</w:t>
      </w:r>
      <w:proofErr w:type="spellEnd"/>
      <w:r w:rsidRPr="00191383">
        <w:rPr>
          <w:bCs/>
          <w:sz w:val="28"/>
          <w:szCs w:val="28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 xml:space="preserve"> и плановый период, заложенному в основу решения о бюджете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 xml:space="preserve"> на очередной финансовый год и плановый период, а также целевого уровня инфляции, определяемого Центральным</w:t>
      </w:r>
      <w:proofErr w:type="gramEnd"/>
      <w:r w:rsidRPr="00191383">
        <w:rPr>
          <w:bCs/>
          <w:sz w:val="28"/>
          <w:szCs w:val="28"/>
        </w:rPr>
        <w:t xml:space="preserve"> банком Российской Федерации на среднесрочную перспективу (4 процента);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 - количество налогоплательщиков-бенефициаров налогового расхода в </w:t>
      </w:r>
      <w:proofErr w:type="spellStart"/>
      <w:r w:rsidRPr="00191383">
        <w:rPr>
          <w:bCs/>
          <w:sz w:val="28"/>
          <w:szCs w:val="28"/>
        </w:rPr>
        <w:t>i-ом</w:t>
      </w:r>
      <w:proofErr w:type="spellEnd"/>
      <w:r w:rsidRPr="00191383">
        <w:rPr>
          <w:bCs/>
          <w:sz w:val="28"/>
          <w:szCs w:val="28"/>
        </w:rPr>
        <w:t xml:space="preserve"> году;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 - расчетная стоимость среднесрочных рыночных заимствований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>, принимаемая на уровне 7,5 процентов.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lastRenderedPageBreak/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3.9.</w:t>
      </w:r>
      <w:r w:rsidRPr="00191383">
        <w:rPr>
          <w:bCs/>
          <w:sz w:val="28"/>
          <w:szCs w:val="28"/>
        </w:rPr>
        <w:t> По итогам оценки результативности формируется заключение: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D265E" w:rsidRPr="00191383" w:rsidRDefault="006D265E" w:rsidP="006D265E">
      <w:pPr>
        <w:shd w:val="clear" w:color="auto" w:fill="FFFFFF"/>
        <w:overflowPunct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3.10.</w:t>
      </w:r>
      <w:r w:rsidRPr="00191383">
        <w:rPr>
          <w:bCs/>
          <w:sz w:val="28"/>
          <w:szCs w:val="28"/>
        </w:rPr>
        <w:t>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6D265E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 w:rsidRPr="00191383">
        <w:rPr>
          <w:bCs/>
          <w:sz w:val="28"/>
          <w:szCs w:val="28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A65E7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        </w:t>
      </w:r>
      <w:r w:rsidRPr="00EE2F5C">
        <w:rPr>
          <w:sz w:val="28"/>
          <w:szCs w:val="28"/>
        </w:rPr>
        <w:t xml:space="preserve">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191383">
        <w:rPr>
          <w:bCs/>
          <w:sz w:val="28"/>
          <w:szCs w:val="28"/>
        </w:rPr>
        <w:t xml:space="preserve"> в срок до 10 августа текущего финансового года.</w:t>
      </w:r>
    </w:p>
    <w:p w:rsidR="006D265E" w:rsidRPr="00191383" w:rsidRDefault="006D265E" w:rsidP="006D265E">
      <w:pPr>
        <w:shd w:val="clear" w:color="auto" w:fill="FFFFFF"/>
        <w:overflowPunct w:val="0"/>
        <w:ind w:firstLine="7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3.11.Результаты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 эффективности муниципальных программ </w:t>
      </w:r>
      <w:r w:rsidR="00A65E7E">
        <w:rPr>
          <w:sz w:val="28"/>
          <w:szCs w:val="28"/>
        </w:rPr>
        <w:t>Трегубовского</w:t>
      </w:r>
      <w:r w:rsidR="00A65E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поселения, утвержденным постановлением </w:t>
      </w:r>
      <w:r w:rsidR="00A65E7E">
        <w:rPr>
          <w:sz w:val="28"/>
          <w:szCs w:val="28"/>
        </w:rPr>
        <w:t>Трегубовского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</w:t>
      </w:r>
      <w:r w:rsidRPr="00EE2F5C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Главный специалист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 xml:space="preserve"> обобщает результаты оценки и рекомендации по результатам оценки налоговых </w:t>
      </w:r>
      <w:r w:rsidRPr="00191383">
        <w:rPr>
          <w:bCs/>
          <w:sz w:val="28"/>
          <w:szCs w:val="28"/>
        </w:rPr>
        <w:t>расходов.</w:t>
      </w:r>
    </w:p>
    <w:p w:rsidR="006D265E" w:rsidRPr="00191383" w:rsidRDefault="006D265E" w:rsidP="006D265E">
      <w:pPr>
        <w:shd w:val="clear" w:color="auto" w:fill="FFFFFF"/>
        <w:overflowPunct w:val="0"/>
        <w:ind w:firstLine="7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Pr="00191383">
        <w:rPr>
          <w:bCs/>
          <w:sz w:val="28"/>
          <w:szCs w:val="28"/>
        </w:rPr>
        <w:t xml:space="preserve"> оценки учитываются при формировании основных направлений бюджетной, налоговой политики </w:t>
      </w:r>
      <w:r w:rsidR="00A65E7E">
        <w:rPr>
          <w:sz w:val="28"/>
          <w:szCs w:val="28"/>
        </w:rPr>
        <w:t>Трегубовского</w:t>
      </w:r>
      <w:r w:rsidR="00A65E7E" w:rsidRPr="00EE2F5C">
        <w:rPr>
          <w:sz w:val="28"/>
          <w:szCs w:val="28"/>
        </w:rPr>
        <w:t xml:space="preserve"> </w:t>
      </w:r>
      <w:r w:rsidRPr="00EE2F5C">
        <w:rPr>
          <w:sz w:val="28"/>
          <w:szCs w:val="28"/>
        </w:rPr>
        <w:t>сельского поселения</w:t>
      </w:r>
      <w:r w:rsidRPr="00EE2F5C">
        <w:rPr>
          <w:bCs/>
          <w:sz w:val="28"/>
          <w:szCs w:val="28"/>
        </w:rPr>
        <w:t xml:space="preserve"> в части целесообразности</w:t>
      </w:r>
      <w:r w:rsidRPr="00191383">
        <w:rPr>
          <w:bCs/>
          <w:sz w:val="28"/>
          <w:szCs w:val="28"/>
        </w:rPr>
        <w:t xml:space="preserve"> сохранения (уточнения, отмены) соответствующих налоговых расходов в очередном финансовом году и плановом периоде.</w:t>
      </w:r>
    </w:p>
    <w:p w:rsidR="006D265E" w:rsidRPr="00191383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Pr="00191383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Pr="00191383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Pr="00191383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Pr="00191383" w:rsidRDefault="006D265E" w:rsidP="006D265E">
      <w:pPr>
        <w:jc w:val="right"/>
        <w:rPr>
          <w:rFonts w:ascii="Calibri" w:eastAsia="Calibri" w:hAnsi="Calibri"/>
          <w:sz w:val="22"/>
          <w:szCs w:val="22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A65E7E" w:rsidRDefault="00A65E7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Default="006D265E" w:rsidP="006D265E">
      <w:pPr>
        <w:jc w:val="right"/>
        <w:rPr>
          <w:rFonts w:eastAsia="Calibri"/>
        </w:rPr>
      </w:pPr>
    </w:p>
    <w:p w:rsidR="006D265E" w:rsidRPr="00BB2AAA" w:rsidRDefault="006D265E" w:rsidP="00A65E7E">
      <w:pPr>
        <w:jc w:val="right"/>
        <w:rPr>
          <w:rFonts w:eastAsia="Calibri"/>
          <w:sz w:val="28"/>
          <w:szCs w:val="28"/>
          <w:lang w:eastAsia="en-US"/>
        </w:rPr>
      </w:pPr>
      <w:r w:rsidRPr="00A06063">
        <w:rPr>
          <w:rFonts w:eastAsia="Calibri"/>
          <w:b/>
          <w:sz w:val="28"/>
          <w:szCs w:val="28"/>
        </w:rPr>
        <w:t>П</w:t>
      </w:r>
      <w:r w:rsidR="00A06063" w:rsidRPr="00A06063">
        <w:rPr>
          <w:rFonts w:eastAsia="Calibri"/>
          <w:b/>
          <w:sz w:val="28"/>
          <w:szCs w:val="28"/>
        </w:rPr>
        <w:t>риложение</w:t>
      </w:r>
      <w:r w:rsidRPr="00191383">
        <w:rPr>
          <w:rFonts w:eastAsia="Calibri"/>
        </w:rPr>
        <w:br/>
      </w:r>
      <w:r w:rsidRPr="00BB2AAA">
        <w:rPr>
          <w:rFonts w:eastAsia="Calibri"/>
          <w:sz w:val="28"/>
          <w:szCs w:val="28"/>
        </w:rPr>
        <w:t>к Порядку формирования перечня</w:t>
      </w:r>
      <w:r w:rsidRPr="00BB2AAA">
        <w:rPr>
          <w:rFonts w:eastAsia="Calibri"/>
          <w:sz w:val="28"/>
          <w:szCs w:val="28"/>
        </w:rPr>
        <w:br/>
        <w:t xml:space="preserve">                                                               налоговых расходов </w:t>
      </w:r>
      <w:r w:rsidRPr="00BB2AAA">
        <w:rPr>
          <w:rFonts w:eastAsia="Calibri"/>
          <w:sz w:val="28"/>
          <w:szCs w:val="28"/>
        </w:rPr>
        <w:br/>
        <w:t xml:space="preserve">                                                        и оценки налоговых расходов </w:t>
      </w:r>
      <w:r>
        <w:rPr>
          <w:rFonts w:eastAsia="Calibri"/>
          <w:sz w:val="28"/>
          <w:szCs w:val="28"/>
        </w:rPr>
        <w:t xml:space="preserve"> </w:t>
      </w:r>
      <w:r w:rsidR="00A65E7E">
        <w:rPr>
          <w:sz w:val="28"/>
          <w:szCs w:val="28"/>
        </w:rPr>
        <w:t>Трегубовского</w:t>
      </w:r>
      <w:r>
        <w:rPr>
          <w:sz w:val="28"/>
          <w:szCs w:val="28"/>
        </w:rPr>
        <w:t xml:space="preserve"> </w:t>
      </w:r>
      <w:r w:rsidRPr="00BB2AAA">
        <w:rPr>
          <w:sz w:val="28"/>
          <w:szCs w:val="28"/>
        </w:rPr>
        <w:t>сельского поселения</w:t>
      </w:r>
      <w:r w:rsidRPr="00BB2AAA">
        <w:rPr>
          <w:rFonts w:eastAsia="Calibri"/>
          <w:sz w:val="28"/>
          <w:szCs w:val="28"/>
          <w:lang w:eastAsia="en-US"/>
        </w:rPr>
        <w:t xml:space="preserve">  </w:t>
      </w:r>
    </w:p>
    <w:p w:rsidR="006D265E" w:rsidRPr="00191383" w:rsidRDefault="006D265E" w:rsidP="006D265E">
      <w:pPr>
        <w:jc w:val="right"/>
        <w:rPr>
          <w:rFonts w:eastAsia="Calibri"/>
        </w:rPr>
      </w:pPr>
    </w:p>
    <w:p w:rsidR="00A06063" w:rsidRDefault="006D265E" w:rsidP="00A06063">
      <w:pPr>
        <w:shd w:val="clear" w:color="auto" w:fill="FFFFFF"/>
        <w:overflowPunct w:val="0"/>
        <w:jc w:val="center"/>
        <w:outlineLvl w:val="2"/>
        <w:rPr>
          <w:b/>
          <w:sz w:val="28"/>
          <w:szCs w:val="28"/>
        </w:rPr>
      </w:pPr>
      <w:r w:rsidRPr="00191383">
        <w:rPr>
          <w:b/>
          <w:sz w:val="28"/>
          <w:szCs w:val="28"/>
        </w:rPr>
        <w:t>Перечень</w:t>
      </w:r>
      <w:r w:rsidRPr="00191383">
        <w:rPr>
          <w:b/>
          <w:sz w:val="28"/>
          <w:szCs w:val="28"/>
        </w:rPr>
        <w:br/>
        <w:t>информации, включаемой в паспорт налогового расхода</w:t>
      </w:r>
    </w:p>
    <w:p w:rsidR="006D265E" w:rsidRPr="00191383" w:rsidRDefault="006D265E" w:rsidP="00A06063">
      <w:pPr>
        <w:shd w:val="clear" w:color="auto" w:fill="FFFFFF"/>
        <w:overflowPunct w:val="0"/>
        <w:jc w:val="center"/>
        <w:outlineLvl w:val="2"/>
        <w:rPr>
          <w:b/>
          <w:bCs/>
          <w:sz w:val="28"/>
          <w:szCs w:val="28"/>
        </w:rPr>
      </w:pPr>
      <w:r w:rsidRPr="00191383">
        <w:rPr>
          <w:b/>
          <w:sz w:val="28"/>
          <w:szCs w:val="28"/>
        </w:rPr>
        <w:t xml:space="preserve"> </w:t>
      </w:r>
      <w:r w:rsidR="00A06063" w:rsidRPr="00A06063">
        <w:rPr>
          <w:b/>
          <w:sz w:val="28"/>
          <w:szCs w:val="28"/>
        </w:rPr>
        <w:t>Трегубовского</w:t>
      </w:r>
      <w:r>
        <w:rPr>
          <w:b/>
          <w:sz w:val="28"/>
          <w:szCs w:val="28"/>
        </w:rPr>
        <w:t xml:space="preserve"> сельского поселения</w:t>
      </w:r>
      <w:r w:rsidRPr="00191383">
        <w:rPr>
          <w:b/>
          <w:bCs/>
          <w:sz w:val="28"/>
          <w:szCs w:val="28"/>
        </w:rPr>
        <w:t xml:space="preserve"> </w:t>
      </w:r>
    </w:p>
    <w:p w:rsidR="006D265E" w:rsidRPr="00191383" w:rsidRDefault="006D265E" w:rsidP="006D265E">
      <w:pPr>
        <w:shd w:val="clear" w:color="auto" w:fill="FFFFFF"/>
        <w:overflowPunct w:val="0"/>
        <w:spacing w:after="213" w:line="225" w:lineRule="atLeast"/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6537"/>
        <w:gridCol w:w="2504"/>
      </w:tblGrid>
      <w:tr w:rsidR="006D265E" w:rsidRPr="00191383" w:rsidTr="00F41CFC">
        <w:tc>
          <w:tcPr>
            <w:tcW w:w="0" w:type="auto"/>
            <w:gridSpan w:val="2"/>
          </w:tcPr>
          <w:p w:rsidR="006D265E" w:rsidRPr="00191383" w:rsidRDefault="006D265E" w:rsidP="00F41CFC">
            <w:pPr>
              <w:overflowPunct w:val="0"/>
              <w:jc w:val="both"/>
              <w:rPr>
                <w:sz w:val="25"/>
              </w:rPr>
            </w:pPr>
            <w:r w:rsidRPr="00191383">
              <w:rPr>
                <w:sz w:val="25"/>
              </w:rPr>
              <w:t>Наименование характеристики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sz w:val="25"/>
              </w:rPr>
            </w:pPr>
            <w:r w:rsidRPr="00191383">
              <w:rPr>
                <w:sz w:val="25"/>
              </w:rPr>
              <w:t>Источник данных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sz w:val="25"/>
              </w:rPr>
            </w:pPr>
          </w:p>
        </w:tc>
      </w:tr>
      <w:tr w:rsidR="006D265E" w:rsidRPr="00191383" w:rsidTr="00F41CFC">
        <w:tc>
          <w:tcPr>
            <w:tcW w:w="0" w:type="auto"/>
            <w:gridSpan w:val="3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I. Нормативные характер</w:t>
            </w:r>
            <w:r>
              <w:rPr>
                <w:bCs/>
                <w:sz w:val="25"/>
              </w:rPr>
              <w:t>истики налогового расхода поселения</w:t>
            </w:r>
            <w:r w:rsidRPr="00191383">
              <w:rPr>
                <w:bCs/>
                <w:sz w:val="25"/>
              </w:rPr>
              <w:t xml:space="preserve"> (далее - налоговый расход)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2.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3.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proofErr w:type="gramStart"/>
            <w:r w:rsidRPr="00191383">
              <w:rPr>
                <w:bCs/>
                <w:sz w:val="25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4.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Категории получателей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5.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Условия предоставления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6.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Целевая категория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куратора налогового расхода (далее - куратор)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7.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Дата начала действия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lastRenderedPageBreak/>
              <w:t>8.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399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Дата прекращения действия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  <w:gridSpan w:val="3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II. Целевые характеристики налогового расхода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9.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Цели предоставления налогового расхода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куратора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10.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11.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перечень налоговых расходов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12.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куратора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13.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куратора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14.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  <w:p w:rsidR="006D265E" w:rsidRPr="00191383" w:rsidRDefault="006D265E" w:rsidP="00F41CFC">
            <w:pPr>
              <w:overflowPunct w:val="0"/>
              <w:ind w:right="28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куратора</w:t>
            </w:r>
          </w:p>
        </w:tc>
      </w:tr>
      <w:tr w:rsidR="006D265E" w:rsidRPr="00191383" w:rsidTr="00F41CFC">
        <w:tc>
          <w:tcPr>
            <w:tcW w:w="0" w:type="auto"/>
            <w:gridSpan w:val="3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III. Фискальные характеристики налогового расхода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15.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 xml:space="preserve">данные главного </w:t>
            </w:r>
            <w:r>
              <w:rPr>
                <w:bCs/>
                <w:sz w:val="25"/>
              </w:rPr>
              <w:t xml:space="preserve">администратора доходов, </w:t>
            </w:r>
            <w:r w:rsidRPr="00191383">
              <w:rPr>
                <w:bCs/>
                <w:sz w:val="25"/>
              </w:rPr>
              <w:t xml:space="preserve"> финансо</w:t>
            </w:r>
            <w:r>
              <w:rPr>
                <w:bCs/>
                <w:sz w:val="25"/>
              </w:rPr>
              <w:t>вого органа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16.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>
              <w:rPr>
                <w:bCs/>
                <w:sz w:val="25"/>
              </w:rPr>
              <w:t>данные финансового органа</w:t>
            </w:r>
            <w:r w:rsidRPr="00191383">
              <w:rPr>
                <w:bCs/>
                <w:sz w:val="25"/>
              </w:rPr>
              <w:t xml:space="preserve"> 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17.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главного администратора доходов</w:t>
            </w:r>
          </w:p>
          <w:p w:rsidR="006D265E" w:rsidRPr="00191383" w:rsidRDefault="006D265E" w:rsidP="00F41CFC">
            <w:pPr>
              <w:overflowPunct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18.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 xml:space="preserve">Фактическая численность плательщиков налога, сбора и платежа, по которому предусматривается налоговый </w:t>
            </w:r>
            <w:r w:rsidRPr="00191383">
              <w:rPr>
                <w:bCs/>
                <w:sz w:val="25"/>
              </w:rPr>
              <w:lastRenderedPageBreak/>
              <w:t>расход, в году, предшествующем отчетному финансовому году (единиц)</w:t>
            </w:r>
          </w:p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lastRenderedPageBreak/>
              <w:t xml:space="preserve">данные главного администратора </w:t>
            </w:r>
            <w:r w:rsidRPr="00191383">
              <w:rPr>
                <w:bCs/>
                <w:sz w:val="25"/>
              </w:rPr>
              <w:lastRenderedPageBreak/>
              <w:t>доходов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lastRenderedPageBreak/>
              <w:t>19.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Базовый объем налогов, сборов и платежа, задекларированных для уплаты получателями налоговых расходов, в консолидированный бюджет района по видам налогов, сборов и платежа за шесть лет, предшествующих отчетному</w:t>
            </w:r>
            <w:r w:rsidR="00A06063">
              <w:rPr>
                <w:bCs/>
                <w:sz w:val="25"/>
              </w:rPr>
              <w:t xml:space="preserve"> финансовому году (тыс. рублей)</w:t>
            </w:r>
          </w:p>
          <w:p w:rsidR="006D265E" w:rsidRPr="00191383" w:rsidRDefault="006D265E" w:rsidP="00F41CFC">
            <w:pPr>
              <w:overflowPunct w:val="0"/>
              <w:ind w:right="29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главного администратора доходов</w:t>
            </w:r>
          </w:p>
        </w:tc>
      </w:tr>
      <w:tr w:rsidR="006D265E" w:rsidRPr="00191383" w:rsidTr="00F41CFC"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20.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ind w:right="298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</w:t>
            </w:r>
            <w:r w:rsidR="00A06063">
              <w:rPr>
                <w:bCs/>
                <w:sz w:val="25"/>
              </w:rPr>
              <w:t xml:space="preserve"> финансовому году (тыс. рублей)</w:t>
            </w:r>
          </w:p>
        </w:tc>
        <w:tc>
          <w:tcPr>
            <w:tcW w:w="0" w:type="auto"/>
          </w:tcPr>
          <w:p w:rsidR="006D265E" w:rsidRPr="00191383" w:rsidRDefault="006D265E" w:rsidP="00F41CFC">
            <w:pPr>
              <w:overflowPunct w:val="0"/>
              <w:jc w:val="both"/>
              <w:rPr>
                <w:bCs/>
                <w:sz w:val="25"/>
              </w:rPr>
            </w:pPr>
            <w:r w:rsidRPr="00191383">
              <w:rPr>
                <w:bCs/>
                <w:sz w:val="25"/>
              </w:rPr>
              <w:t>данные главного администратора доходов</w:t>
            </w:r>
          </w:p>
        </w:tc>
      </w:tr>
    </w:tbl>
    <w:p w:rsidR="006D265E" w:rsidRDefault="006D265E" w:rsidP="006D265E">
      <w:pPr>
        <w:pStyle w:val="ConsPlusTitle"/>
        <w:widowControl/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D265E" w:rsidSect="005E274A">
      <w:footerReference w:type="default" r:id="rId14"/>
      <w:pgSz w:w="11906" w:h="16838"/>
      <w:pgMar w:top="1134" w:right="567" w:bottom="964" w:left="1985" w:header="567" w:footer="90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59" w:rsidRDefault="001B4459">
      <w:r>
        <w:separator/>
      </w:r>
    </w:p>
  </w:endnote>
  <w:endnote w:type="continuationSeparator" w:id="0">
    <w:p w:rsidR="001B4459" w:rsidRDefault="001B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4A" w:rsidRDefault="005E274A">
    <w:pPr>
      <w:pStyle w:val="aa"/>
      <w:jc w:val="right"/>
    </w:pPr>
    <w:fldSimple w:instr=" PAGE   \* MERGEFORMAT ">
      <w:r>
        <w:rPr>
          <w:noProof/>
        </w:rPr>
        <w:t>4</w:t>
      </w:r>
    </w:fldSimple>
  </w:p>
  <w:p w:rsidR="005E274A" w:rsidRDefault="005E27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59" w:rsidRDefault="001B4459">
      <w:r>
        <w:separator/>
      </w:r>
    </w:p>
  </w:footnote>
  <w:footnote w:type="continuationSeparator" w:id="0">
    <w:p w:rsidR="001B4459" w:rsidRDefault="001B4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3A36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6F43"/>
    <w:rsid w:val="000D0D6B"/>
    <w:rsid w:val="000D2474"/>
    <w:rsid w:val="000D3267"/>
    <w:rsid w:val="000D5D5D"/>
    <w:rsid w:val="000D75D2"/>
    <w:rsid w:val="000E3074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5367"/>
    <w:rsid w:val="001328C8"/>
    <w:rsid w:val="00133CA4"/>
    <w:rsid w:val="00137ACB"/>
    <w:rsid w:val="00146080"/>
    <w:rsid w:val="001464D1"/>
    <w:rsid w:val="00150732"/>
    <w:rsid w:val="0016009C"/>
    <w:rsid w:val="00162940"/>
    <w:rsid w:val="001636E4"/>
    <w:rsid w:val="00164CC3"/>
    <w:rsid w:val="00174988"/>
    <w:rsid w:val="00176DFE"/>
    <w:rsid w:val="00177BEA"/>
    <w:rsid w:val="001A5006"/>
    <w:rsid w:val="001B1995"/>
    <w:rsid w:val="001B4459"/>
    <w:rsid w:val="001B5E46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6109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74A"/>
    <w:rsid w:val="005E2AF2"/>
    <w:rsid w:val="005F14C4"/>
    <w:rsid w:val="0060485B"/>
    <w:rsid w:val="006064C0"/>
    <w:rsid w:val="00620AE2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1C42"/>
    <w:rsid w:val="00687E43"/>
    <w:rsid w:val="006A2225"/>
    <w:rsid w:val="006B3BCE"/>
    <w:rsid w:val="006C09FE"/>
    <w:rsid w:val="006C5080"/>
    <w:rsid w:val="006C702F"/>
    <w:rsid w:val="006D265E"/>
    <w:rsid w:val="006D7AF4"/>
    <w:rsid w:val="006E4702"/>
    <w:rsid w:val="006E7311"/>
    <w:rsid w:val="006F7812"/>
    <w:rsid w:val="0070329E"/>
    <w:rsid w:val="00704BAA"/>
    <w:rsid w:val="00704CFC"/>
    <w:rsid w:val="007149B4"/>
    <w:rsid w:val="00724D31"/>
    <w:rsid w:val="00731389"/>
    <w:rsid w:val="0073551F"/>
    <w:rsid w:val="007449EA"/>
    <w:rsid w:val="00745628"/>
    <w:rsid w:val="00755041"/>
    <w:rsid w:val="007570C8"/>
    <w:rsid w:val="007649E1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2B6C"/>
    <w:rsid w:val="009447CF"/>
    <w:rsid w:val="0094627D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5E7C"/>
    <w:rsid w:val="009D2B67"/>
    <w:rsid w:val="009D5900"/>
    <w:rsid w:val="009E0AEB"/>
    <w:rsid w:val="009E0F95"/>
    <w:rsid w:val="009E42F1"/>
    <w:rsid w:val="009F1F6D"/>
    <w:rsid w:val="009F338F"/>
    <w:rsid w:val="009F5B0A"/>
    <w:rsid w:val="00A00C2F"/>
    <w:rsid w:val="00A06063"/>
    <w:rsid w:val="00A129AB"/>
    <w:rsid w:val="00A45E11"/>
    <w:rsid w:val="00A47772"/>
    <w:rsid w:val="00A50F7F"/>
    <w:rsid w:val="00A56664"/>
    <w:rsid w:val="00A56892"/>
    <w:rsid w:val="00A63B69"/>
    <w:rsid w:val="00A63C7F"/>
    <w:rsid w:val="00A659A2"/>
    <w:rsid w:val="00A65E7E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513A"/>
    <w:rsid w:val="00BB001A"/>
    <w:rsid w:val="00BC2B25"/>
    <w:rsid w:val="00BC3C42"/>
    <w:rsid w:val="00BC3D65"/>
    <w:rsid w:val="00BC5BF1"/>
    <w:rsid w:val="00BD0E45"/>
    <w:rsid w:val="00BE1CFE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7515C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AC1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1898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5100"/>
    <w:rsid w:val="00F23D7D"/>
    <w:rsid w:val="00F31DBF"/>
    <w:rsid w:val="00F40C66"/>
    <w:rsid w:val="00F4161D"/>
    <w:rsid w:val="00F5589F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8EDC41-B137-4212-82E5-3D8D8F4E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40</cp:revision>
  <cp:lastPrinted>2018-04-05T07:44:00Z</cp:lastPrinted>
  <dcterms:created xsi:type="dcterms:W3CDTF">2014-11-13T09:09:00Z</dcterms:created>
  <dcterms:modified xsi:type="dcterms:W3CDTF">2020-02-10T14:24:00Z</dcterms:modified>
</cp:coreProperties>
</file>