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EB6552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Официальный бюллетень Администрации </w:t>
                  </w:r>
                  <w:proofErr w:type="spellStart"/>
                  <w:r w:rsidRPr="00DF0D65">
                    <w:rPr>
                      <w:i/>
                      <w:iCs/>
                      <w:sz w:val="28"/>
                      <w:szCs w:val="28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EF3A89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10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(1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297F42" w:rsidRPr="00DF0D65" w:rsidRDefault="00EF3A89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25.10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Совет депутатов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174203, Россия, Новгородская область,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Чудовский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</w:t>
                  </w:r>
                  <w:proofErr w:type="gramEnd"/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 в печать:</w:t>
                  </w:r>
                </w:p>
                <w:p w:rsidR="00297F42" w:rsidRPr="00DF0D65" w:rsidRDefault="00EF3A89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</w:t>
                  </w:r>
                  <w:bookmarkStart w:id="0" w:name="_GoBack"/>
                  <w:bookmarkEnd w:id="0"/>
                  <w:r w:rsidR="00FD79FF">
                    <w:rPr>
                      <w:sz w:val="24"/>
                      <w:szCs w:val="24"/>
                    </w:rPr>
                    <w:t>.2024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EB6552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  <w:proofErr w:type="spellEnd"/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EB6552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proofErr w:type="spellStart"/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  <w:proofErr w:type="spellEnd"/>
    </w:p>
    <w:p w:rsidR="00457CB5" w:rsidRPr="00856218" w:rsidRDefault="00EB6552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  <w:proofErr w:type="spellEnd"/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EF3A89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EF3A89" w:rsidRDefault="00EF3A89" w:rsidP="00EF3A89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lastRenderedPageBreak/>
        <w:t>Пожарная безопасность</w:t>
      </w:r>
      <w:proofErr w:type="gram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С</w:t>
      </w:r>
      <w:proofErr w:type="gram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01 ноября 2024 года обновится свод правил по эвакуационным выходам и путям обновится 1 ноября (17.10.2024)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МЧС скорректировало СП 1.13130.2020 "Системы противопожарной защиты. Эвакуационные пути и выходы". Изменения среди прочего касаются норм о параметрах и числе эвакуационных выходов.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Решать, какие выходы могут служить эвакуационными, потребуется исходя, например, из таких новых правил: 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число и размеры выходов с террас надо определять по требованиям к помещениям аналогичного класса функциональной пожарной опасности;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помещения для одновременного пребывания от 501 до 1000 человек должны иметь не менее 3 выходов, более 1000 человек - не менее 4;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-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при устройстве выхода через смежное помещение нужно учитывать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рассредоточенность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выходов из обоих сообщающихся помещений, как из одного.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подраздел по производственным зданиям и сооружениям, производственным и лабораторным помещениям, мастерским включили нормы о том, каким параметрам должны соответствовать выходы из различных типов пешеходных тоннелей, галерей и эстакад.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Уточнили условия, при совокупности которых выходы в вестибюлях и холлах зданий с турникетами в их проемах будут считаться эвакуационными: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ширина прохода через турникет - не менее 0,7 м (при эвакуации маломобильных групп населения - не менее 0,9 м). При этом суммарная ширина прохода должна быть не менее требуемой ширины пути эвакуации;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есть возможность вручную открыть и заблокировать в открытом состоянии турникет. Можно также применить автоматический и дистанционный способы;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перед выходом предусмотрено устройство распашных калиток шириной не менее чем у выхода (для случая эвакуации более 50 человек). При этом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калитки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возможно вручную открыть и заблокировать в открытом состоянии. Вместе с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ручным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можно использовать автоматический и дистанционный способы.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Обновленным требованиям надо следовать, когда объект защиты проектируют или меняют его функциональное назначение. Кроме того, они обязательны при реконструкции, капремонте и техническом перевооружении в той части, которая соответствует объему этих работ.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С 14 октября 2024 года ужесточена ответственность за скрытие номеров автомобилей и других ТС ужесточена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Ввели отдельное наказание за управление ТС с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госномерами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, установленными с помощью устройств, которые мешают распознавать регистрационные знаки или позволяют их изменить либо скрыть.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Управление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 влечет лишение права управления транспортными средствами на срок от одного года до полутора лет с конфискацией указанных устройств.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Кроме того, лишение прав на срок от года до полутора лет теперь предусмотрено и за повторное управление ТС: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без номеров;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с регистрационными знаками, которые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установны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с нарушением требований государственного стандарта</w:t>
      </w:r>
      <w:r w:rsidRPr="00EF3A89">
        <w:rPr>
          <w:rFonts w:ascii="Times New Roman" w:hAnsi="Times New Roman" w:cs="Times New Roman"/>
          <w:bCs/>
          <w:sz w:val="18"/>
          <w:szCs w:val="18"/>
        </w:rPr>
        <w:br/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Федеральный закон от 14.10.2024 N 342-ФЗ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Борьба с переводами денег мошенникам: с 22 октября 2024 года банки должны соблюдать новые правила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Системно значимые кредитные организации будут применять информацию из базы данных о переводах средств без согласия клиентов не позже 2 ч с момента, когда ЦБ РФ ее предоставит. С 1 января 2025 года на это отведут 1 ч. Нормы коснутся также кредитных организаций из реестра значимых на рынке платежных услуг.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Остальные операторы по переводу денег с 22 октября 2024 года будут выполнять обязанность в течение 3 ч с того же момента без дальнейшего сокращения срока.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Если сведения поступят, когда операторы не обслуживают клиентов (в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т.ч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. через интернет-банкинг), исчисление сроков начнется с момента запуска такого сопровождения.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Регулятор отметил: новшества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снизят число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денежных переводов мошенникам.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Сейчас время, в течение которого банки и другие операторы должны применять информацию для выявления переводов денег без согласия клиентов, не установлено.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Указание Банка России от 19.08.2024 N 6828-У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Информация Банка России от 11.10.2024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Хранение данных о пользователях ряда </w:t>
      </w:r>
      <w:proofErr w:type="gram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интернет-сервисов</w:t>
      </w:r>
      <w:proofErr w:type="gramEnd"/>
      <w:r w:rsidRPr="00EF3A89">
        <w:rPr>
          <w:rFonts w:ascii="Times New Roman" w:hAnsi="Times New Roman" w:cs="Times New Roman"/>
          <w:b/>
          <w:bCs/>
          <w:sz w:val="18"/>
          <w:szCs w:val="18"/>
        </w:rPr>
        <w:t>: новшества с 1 января 2025 года (15.10.2024)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Правительство расширит перечень данных, которые организаторы распространения информации в интернете должны хранить и передавать оперативникам по запросу.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Поправки обязывают хранить сведения не только о сетевых адресах, но и о портах пользователя и коммуникационного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интернет-сервиса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, которые применялись при регистрации, авторизации и прекращении регистрации пользователя.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Тот же состав данных потребуется хранить в составе информации о фактах приема, передачи или обработки электронных сообщений пользователей.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Документ: Постановление Правительства РФ от 09.10.2024 N 1348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Запрет общаться за рулем по телефону без гарнитуры предложено расширить - поправки Минтранса (09.10.2024)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 проекту с 1 марта 2025 года водителю при движении ТС нельзя вручную пользоваться любым устройством, которое не предусмотрено конструкцией транспорта. То же касается применения смартфонов (планшетов и др.), когда они отвлекают от управления, хотя в этот момент водитель их не трогает. Полагаем, речь идет о просмотре видео и т.п.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Ехать по навигатору не запретят. Однако устанавливать маршрут вручную во время движения водитель будет не вправе.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Сейчас при движении ТС водителю нельзя использовать телефон без гарнитуры или другого устройства, которое позволяет не держать гаджет в руках во время общения. Нарушителей штрафуют на 1500 руб.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Есть и другие изменения. Их публичное обсуждение завершат 10 октября.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lastRenderedPageBreak/>
        <w:t>Документ: Проект постановления Правительства РФ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Минтранс предложил эксперимент по </w:t>
      </w:r>
      <w:proofErr w:type="gram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контролю за</w:t>
      </w:r>
      <w:proofErr w:type="gram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перевозками пассажиров по межрегиональным маршрутам (08.10.2024)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15 декабря 2024 года планируют провести эксперимент по созданию и апробации электронной системы взаимодействия в сфере регулярных перевозок пассажиров автотранспортом по межрегиональным маршрутам.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Мероприятие продлится до 1 сентября 2025 года. Его проведут с помощью модуля контроля пассажирских перевозок ГАИС "ЭРА-ГЛОНАСС", чтобы среди прочего: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создать электронную систему взаимодействия участников перевозок и исключить бумажный документооборот;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внедрить дополнительный механизм выявления нарушений в сфере перевозок.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Добровольно поучаствовать в эксперименте смогут: перевозчики, автовокзалы, автостанции,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автокассы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, операторы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информсистем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 сфере транспорта и навигации,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агрегаторы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по продаже билетов и др.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Общественное обсуждение завершат 17 октября.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Документ: Проект постановления Правительства РФ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Оплата по </w:t>
      </w:r>
      <w:proofErr w:type="gram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универсальному</w:t>
      </w:r>
      <w:proofErr w:type="gram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или персональному QR-коду: Центробанк опубликовал план на 2025 - 2027 годы (17.10.2024)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Регулятор поддерживает введение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универсального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QR-кода. Когда потребитель его отсканирует, то сможет выбрать удобный способ оплаты: через систему быстрых платежей, сервис банка или с помощью цифровых рублей (с. 24 и 43 документа). Недавно председатель ЦБ РФ отметила: готовят поправки, по которым каждая касса станет отображать только такой QR-код.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Также Центробанк подумает над внедрением другой технологии - уникального (персонального) QR-кода покупателя. Его можно будет предъявить торгово-сервисному предприятию для оплаты товаров либо услуг (с. 24 документа).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Сейчас оплата по QR-коду зачастую подразумевает его сканирование потребителем и подтверждение перевода денег через систему быстрых платежей в пользу продавца или исполнителя.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ЦБ РФ сообщил о работе и над другими новшествами.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Документ: Основные направления развития финансовых технологий на период 2025 - 2027 годов, опубликованные Банком России 15.10.2024 (http://cbr.ru/Content/Document/File/166399/onfintech_2025-27.pdf)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Принят Проект Федерального закона № 651434-8 «О внесении изменений в отдельные статьи Жилищного кодекса Российской Федерации»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направленный на повышение прозрачности деятельности управляющих организаций, ТСЖ и ЖСК, усиление контроля собственников за их деятельностью. В настоящее время Жилищный кодекс Российской Федерации (далее - Жилищный кодекс) предусматривает обязанность управляющей организации ежегодно в течение первого квартала каждого месяца предоставлять собственникам помещений в многоквартирном доме отчет о выполнении договора управления за предыдущий год.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Однако требование о форме такого отчета не содержится в Жилищном кодексе.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Подзаконные документы также не содержат данного требования.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связи с внедрением Государственной информационной системы жилищно-коммунального хозяйства (далее - ГИС ЖКХ) утратило силу Постановление Правительства Российской Федерации от 23 сентября 2010 г. N 731 "Об утверждении стандарта раскрытия информации организациями, осуществляющими деятельность в сфере управления многоквартирными домами", содержавшее требования к отчетности управляющими организациями перед собственниками.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Таким образом, в настоящее время формы ежегодной отчетности управляющих организаций, Правлений жилищных кооперативов, а также товариществ собственников недвижимости, перед собственниками помещений в многоквартирном доме и/или членами кооперативов и/или товариществ установлены исключительно Приказом Министерства связи и массовых коммуникаций Российской Федерации и Министерством строительства и жилищно-коммунального хозяйства Российской Федерации (далее - Минстрой России) от 29 февраля 2016 г. N 74/114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пр</w:t>
      </w:r>
      <w:proofErr w:type="spellEnd"/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которое не предусматривает формы отчетности организаций осуществляющих управление многоквартирными домами, а перечисляет только информацию, которая должна быть размещена в ГИС ЖКХ.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Для гражданина, не обладающего специальными знаниями, достаточно сложно разобраться в данной информации, составить объективное представление о характере, стоимости и качестве выполненных работ в разрезе каждого конкретного дома.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Кроме того, в Жилищном кодексе не содержится требование к предоставлению и утверждению собственниками отчетов о деятельности по управлению многоквартирным домом со стороны жилищно-строительных кооперативов. Зачастую это приводит к злоупотреблению со стороны руководящих органов данных организаций.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Законопроект призван устранить указанные правовые пробелы, обязав управляющие организации, ТСЖ и ЖСК предоставлять собственникам информацию о работе по управлению многоквартирными домами по форме, утвержденной Минстроем России.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Принятие законопроекта сделает процедуру получение информации об управлении многоквартирным домом более прозрачной и понятной, а также позволить защитить собственников помещений в многоквартирном доме от финансовых рисков, что будет способствовать снижению социальной напряженности. Законопроект не противоречит нормам Конституции Российской Федерации и федеральному законодательству, его принятие не требует пересмотра федерального бюджета.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20 октября 2024 года расширят список товаров, при закупках которых устанавливают аванс минимум 80%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Правительства РФ от 11.10.2024 N 1363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Правительство утвердило дополнительный перечень продукции, при закупках которой получатели средств федерального бюджета станут устанавливать в контрактах аванс не менее 80% в пределах ЛБО.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список войдет 35 позиций строительно-дорожной техники, в частности: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- 28.92.24.120 - катки дорожные самоходные;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- 28.92.29.000 - автомобили-самосвалы для использования в условиях бездорожья;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- 28.92.30.150 - машины для распределения строительного раствора или бетона;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- 29.10.59.320 - снегоочистители.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Повышенный размер аванса при закупках этой продукции станет обязательным для контрактов, которые заключили с 20.10.2024 по 31.12.2026 включительно. Средства на их финансовое обеспечение будут подлежать казначейскому сопровождению.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октября 2024 года обновлены типовая форма гарантии для обеспечения заявок и положение об их оценке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Правительства РФ от 23.09.2024 N 1285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типовой форме независимой гарантии для обеспечения заявки установили, что при проведении совместного конкурса или аукциона бенефициаром в гарантии указывают организатора совместной закупки.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положении об оценке заявок закрепили, что для определения опыта заказчик сможет принимать только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госконтракты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или договоры по Закону N 223-ФЗ.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Подробнее об этом в обзоре.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С 12 сентября 2024 года снижены цены, при которых долгосрочные контракты на регулярные перевозки можно изменять из-за форс-мажора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Правительства РФ от 03.09.2024 N 1215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Заказчики смогут изменять условия региональных контрактов на регулярные перевозки пассажиров и багажа при НМЦК 1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млн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руб. и выше, муниципальных - при НМЦК 100 тыс. руб. и выше. Такая корректировка возможна при соблюдении ряда условий. Одно из них - наличие решения высшего исполнительного органа субъекта РФ или местной администрации.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Проект Федерального закона N 667365-8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Штрафы по КоАП РФ за уклонение от многих проверок возрастут - проект внесен в Госдуму (15.10.2024)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Поправки коснутся тех, кто мешает провести либо завершить надзорное (контрольное) мероприятие или, например, ввести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спецрежим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по Закону о госконтроле, а также осуществить проверку по Закону о защите прав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юрлиц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и ИП. За такое нарушение по общему правилу должностное лицо заплатит от 10 тыс. до 20 тыс. руб., компания - от 250 тыс. до 500 тыс. руб. Сейчас штрафы в два раза ниже для первых и от 20 тыс.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до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50 тыс. руб. для вторых.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За повторное нарушение должностное лицо заплатит от 20 тыс. до 50 тыс. руб. либо его дисквалифицируют на срок от 6 мес. до 1 года. Компанию оштрафуют на сумму от 500 тыс. до 1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млн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руб. Сейчас срок дисквалификации тот же, а штраф - от 10 тыс. до 20 тыс. руб.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Юрлиц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наказывают на сумму от 50 тыс. до 100 тыс. руб.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Правила проведения запроса котировок и изменения </w:t>
      </w:r>
      <w:proofErr w:type="spell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госконтрактов</w:t>
      </w:r>
      <w:proofErr w:type="spell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предложено уточнить: проект в Госдуме (26.09.2024)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Планируют, что с 1 января 2025 года заказчики на постоянной основе смогут: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проводить электронный запрос котировок без ограничений по годовому объему таких закупок. Сейчас такое ограничение снято до 31 декабря 2026 года;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менять по соглашению условия отдельных контрактов с единственным поставщиком, например на работы по мобилизационной подготовке. Сейчас такая возможность действует до 31 декабря 2024 года.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Также с 1 января 2025 года хотят снизить с 3 лет до 1 года минимальный срок заключения федеральных и региональных контрактов, условия которых можно изменять из-за форс-мажора по решению правительства или высшего исполнительного органа субъекта РФ. Речь идет о корректировке на основании общих норм - п. п. 2 и 3 ч. 1 ст. 95 Закона N 44-ФЗ.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Возможность изменить условия контрактов по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спецнорме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- ч. 65.1 ст. 112 Закона N 44-ФЗ - планируют отменить.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i/>
          <w:iCs/>
          <w:sz w:val="18"/>
          <w:szCs w:val="18"/>
        </w:rPr>
        <w:t>Документ: Проект Федерального закона N 722148-8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сентября 2024 года изменили состав аптечки первой помощи работникам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Приказ Минздрава России от 24.05.2024 N 262н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В аптечку требуют добавить хотя бы 1 блокнот формата не менее А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7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и 1 маркер черный (синий) или карандаш.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Нестерильных одноразовых масок нужно иметь 2 шт., а не 10, как раньше, устрой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ств дл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я искусственного дыхания "Рот-Устройство-Рот" - 2 шт., а не 1.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Кроме того, уточнили ряд наименований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медизделий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. Так, можно использовать не только марлевый медицинский бинт, но и нестерильный фиксирующий эластичный бинт.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Собранные ранее аптечки можно применять до истечения срока годности содержимого, но не позднее 1 сентября 2027 года.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lastRenderedPageBreak/>
        <w:t>С 1 сентября 2024 года начали действовать поправки об оплате сверхурочной работы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Федеральный закон от 22.04.2024 N 91-ФЗ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ТК РФ появилось положение о том, что при оплате сверхурочной работы надо учитывать компенсационные и стимулирующие выплаты.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Работодатели не обязаны пересматривать условия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колдоговора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, соглашения, локального акта или трудового договора, если в них установили оплату сверхурочной работы в более высоком размере, чем предусмотрено в поправках.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сентября 2024 года в ТК РФ закрепили норму об удлиненном отпуске для инвалидов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Федеральный закон от 08.08.2024 N 268-ФЗ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ТК РФ зафиксировали, что работникам-инвалидам нужно давать не менее 30 календарных дней ежегодного оплачиваемого отпуска.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Норму убрали из Закона о соцзащите инвалидов.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сентября 2024 года обновили положения о квотах для инвалидов</w:t>
      </w:r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Федеральный закон от 12.12.2023 N 565-ФЗ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Правительства РФ от 30.05.2024 N 709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Приказ Минтруда России от 16.04.2024 N 195н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Приказ Минтруда России от 09.08.2024 N 399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 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Регионы устанавливают квоты для работодателей, у которых трудятся более 35 человек, - от 2% до 4% от среднесписочной численности персонала. Их могут дифференцировать в зависимости от видов деятельности, муниципальных образований и др. При этом субъекты РФ должны учитывать рекомендации Минтруда.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Квоту рассчитывают ежеквартально до 10-го числа месяца, следующего за отчетным кварталом.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При заключении трудового договора с инвалидом I группы квоту считают исполненной на 2 рабочих места.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Появился перечень случаев освобождения от выполнения квоты. Среди них: банкротство работодателя, уменьшение числа сотрудников до значения, при котором квоты нет.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Отчет о выполнении квоты нужно представлять по новой форме. В ней требуют указывать меньше сведений по сравнению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с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предыдущей.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Также начали действовать правила заключения соглашения о трудоустройстве инвалидов и его форма, если работодатель не создает места для них.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На 2025 год установлена квота на выдачу иностранным гражданам и лицам без гражданства 5500 разрешений на временное проживание в РФ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Распоряжение Правительства РФ от 14.10.2024 N 2839-р</w:t>
            </w:r>
            <w:proofErr w:type="gramStart"/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&lt;О</w:t>
            </w:r>
            <w:proofErr w:type="gramEnd"/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установлении квоты на выдачу иностранным гражданам и лицам без гражданства разрешений на временное проживание в Российской Федерации на 2025 год&gt;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Предусмотрен резерв указанной квоты в количестве 1650 разрешений.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Приводится порядок распределения разрешений по субъектам РФ.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Обновлена форма заявления о назначении накопительной пенсии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F3A89" w:rsidRPr="00EF3A89" w:rsidTr="008C1F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A89" w:rsidRPr="00EF3A89" w:rsidRDefault="00EF3A89" w:rsidP="00EF3A89">
            <w:pPr>
              <w:pStyle w:val="1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t>Приказ СФР от 10.09.2024 N 1581</w:t>
            </w: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"О внесении изменения в приложение N 1 к приказу Фонда пенсионного и социального страхования Российской Федерации от 18 сентября 2023 г. N 1735"</w:t>
            </w:r>
            <w:r w:rsidRPr="00EF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Зарегистрировано в Минюсте России 16.10.2024 N 79794. </w:t>
            </w:r>
          </w:p>
        </w:tc>
      </w:tr>
    </w:tbl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связи с уточнением условий для определения назначаемой выплаты за счет средств пенсионных накоплений, предусмотренным Федеральным законом от 25 декабря 2023 г. N 632-ФЗ, в новой редакции изложено приложение N 1 к приказу СФР от 18 сентября 2023 г. N 1735.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Порядок приостановления действия трудового договора для лиц, убывших в зону проведения специальной военной операции 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Согласно ч. 1 ст. 351.7 Трудового кодекса Российской Федерации основаниями для приостановления действия трудового договора являются: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призыв работника на военную службу по мобилизации;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заключение работником контракта в соответствии с п. 7 ст. 38 Федерального закона от 28.03.1998 № 53-ФЗ «О воинской обязанности и военной службе»;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заключение работником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соответствии с ч. 2 ст. 351.7 Трудового кодекса Российской Федерации приказ о приостановлении действия трудового договора работодатель издает на основании заявления работника.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</w:t>
      </w:r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>заключении с работником контракта о прохождении военной службы в соответствии с п. 7 ст. 38 Федерального закона от 28.03.1998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>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Кодекс Российской Федерации об административных правонарушениях дополнен новым составом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Федеральным закон от 08.07.2024 № 165-ФЗ «О внесении изменений в Кодекс Российской Федерации об административных правонарушениях» кодекс дополнен статьей 8.28.2, устанавливающей административную ответственность за пребывание в лесах с машинами (в том числе самоходными машинами, другими видами техники) и (или) оборудованием, предназначенными для рубки лесных насаждений, а также для транспортировки древесины из леса и предусмотренными перечнем, установленным Лесным кодексом Российской Федерации, если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отсутствуют законные основания для осуществления рубок лесных насаждений.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Санкция статьи устанавливает наложение административного штрафа на граждан в размере от восьмисот до двух тысяч рублей с конфискацией машин и (или) оборудования, являющихся орудием административного правонарушения, или без таковой; на должностных лиц - от сорока тысяч до пятидесяти тысяч рублей с конфискацией машин и (или) оборудования, являющихся орудием административного правонарушения, или без таковой;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на лиц, осуществляющих предпринимательскую деятельность без образования юридического лица, - от пятидесяти тысяч до ста тысяч рублей с конфискацией машин и (или) оборудования, являющихся орудием административного правонарушения, или без таковой; на юридических лиц - от трехсот тысяч до пятисот тысяч рублей с конфискацией машин и (или) оборудования, являющихся орудием административного правонарушения, или без таковой.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Положения вступили в силу с 19.07.2024.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В рамках социальной газификации уточнены правила распределения субсидий на поддержку льготных категорий граждан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Принятое Правительством Российской Федерации постановление от 06.08.2024 № 1056 позволит осуществить в текущем периоде 2024 года выплату второй части компенсации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на покрытие расходов по подключению к газовым сетям в соответствии с договорами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>, заключенными в 2023 году.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Так, с февраля 2023 года расходы по проведению газа по участку и подключению его к дому государство частично субсидирует льготнику на сумму не менее 100 000 рублей.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Предусматривается, что льготники могут разделить получение субсидии и оплату работ на две части: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в первом платеже могут оплатить определенную часть работ только за счет субсидии;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во втором - предоставить оставшуюся часть субсидии и собственные средства.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Вопросы отстранения несовершеннолетних </w:t>
      </w:r>
      <w:proofErr w:type="gram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лиц</w:t>
      </w:r>
      <w:proofErr w:type="gram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не привитых против кори от учебного процесса 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В соответствии со ст. 35 Федерального закона от 30.03.1999 № 52-ФЗ «О санитарно-эпидемиологическом благополучии населения» и Федеральным законом от 17.09.1998 № 157-ФЗ «Об иммунопрофилактике инфекционных болезней» профилактические прививки проводятся гражданам в целях предупреждения возникновения и распространения инфекционных заболеваний.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Согласно требованиям СанПиН 3.3686-21 «Санитарно-эпидемиологические требования по профилактике инфекционных болезней», утв. постановлением Главного государственного санитарного врача Российской Федерации от 28.01.2021, профилактическая иммунизация против кори, краснухи и эпидемического паротита осуществляется в соответствии с национальным календарем профилактических прививок и состоит из вакцинации в 1 год и ревакцинации в 6 лет.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В целях соблюдения основного принципа государственной политики и правового регулирования отношений в сфере образования, указанного Федеральным законом от 29.12.2012 № 273-ФЗ «Об образовании в Российской Федерации», о приоритете жизни и здоровья человека несовершеннолетние, привитые против кори однократно, то есть не прошедшие полный курс иммунизации, при выявлении очага коревой инфекции в образовательной организации не отстраняются из учебного коллектива.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Дети, имевшие контакт с больным корью, при подозрении на заболевание, и не болевшие корью ранее, не привитые, не имеющие сведений о прививках против кори, а также лица старше 6 лет, привитые однократно, подлежат иммунизации против кори по эпидемическим показаниям. При отказе законных представителей несовершеннолетних от иммунизации данная категория детей отстраняется из организованного коллектива.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Если ребенок впервые привит после выявления очага инфекции, то он может быть допущен в коллектив через 21 день после проведенной иммунизации. Если однократно вакцинированный несовершеннолетний привит после выявления очага инфекции, то он допускается в коллектив сразу после проведенной ревакцинации.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О строительстве арендного жилья для специалистов, приезжающих работать в сельские районы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Распоряжением Правительства Российской Федерации от 21.07.2024  № 2014-р с целью  создания условий для привлечения в сельскую местность высококвалифицированных специалистов в 2024 году на строительство арендного жилья дополнительно направлены денежные средства, которые получат 18 регионов, в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т.ч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. и Тамбовская область.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Указанные меры позволят в течение ближайших полутора лет построить служебное жилье, селам быстрее решать вопросы с кадрами, а людям, включая семьи с детьми, улучшить условия своего проживания.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Для специалистов также предусмотрена возможность выкупа таких домов или квартир при соблюдении ряда условий, основным из которых является постоянная работа в сельской местности.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Вступили в силу поправки в Уголовно-процессуальный кодекс Российской Федерации, которыми изменен порядок хранения и уничтожения изъятого алкоголя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Федеральным законом от 29.05.2024 № 110-ФЗ внесены изменения в статьи 81 и 82 Уголовно-процессуального кодекса Российской Федерации (далее – УПК РФ).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Так, часть 3 статьи 81 УПК РФ дополнена пунктом 2.3, согласно которого изъятые из незаконного оборота этиловый спирт, алкогольная и спиртосодержащая продукция, а также предметы, используемые для незаконных производства и (или) оборота этилового спирта, алкогольной и спиртосодержащей продукции, подлежат уничтожению, утилизации или реализации по решению суда в порядке, установленном Правительством Российской Федерации.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Пункт 7 части 2 статьи 82 УПК РФ изложен в новой редакции, а именно вещественные доказательства в виде изъятых из незаконного оборота этилового спирта, алкогольной и спиртосодержащей продукции, а также предметов, используемых </w:t>
      </w:r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>для незаконных производства и (или) оборота этилового спирта, алкогольной и спиртосодержащей продукции, до получения результатов исследований передаются на хранение.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После получения результатов исследований вещественные доказательства, указанные в настоящем пункте, передаются для уничтожения, утилизации или реализации по решению суда в порядке, установленном Правительством Российской Федерации (в предыдущей редакции их могли хранить и после проведения необходимых исследований). Средства, вырученные от реализации указанных вещественных доказательств, зачисляются в соответствии с настоящей частью на депозитный счет органа, осуществляющего производство по уголовному делу, на срок, предусмотренный частью первой настоящей статьи. К материалам уголовного дела приобщаются материалы фот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о-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и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видеофиксации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указанных вещественных доказательств, а также может быть приобщен образец вещественного доказательства, достаточный для сравнительного исследования.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Часть 4.1 статьи 82 УПК РФ дополнена тем, что ходатайство об уничтожении, утилизации или о реализации указанных в пункте 7 части 2 статьи 82 УПК РФ вещественных доказательств возбуждается не позднее месяца с момента получения органом предварительного расследования результатов исследований; принятия решения по жалобе об оспаривании результатов исследований; получения результатов дополнительных или повторных исследований.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Утвержден порядок размещения дорожных видеокамер 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Правила размещения стационарных средств фиксации, передвижных средств фиксации или мобильных средств фиксации закреплены в постановлении Правительства Российской Федерации от 01.06.2024 № 754.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Они содержат требования к обязательному информированию участников дорожного движения о местах размещения таких устройств, определяют допустимые места установки стационарных и передвижных видеокамер.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Например, к ним относятся: аварийно-опасные участки дорог; пешеходные переходы; перекрестки; места, где запрещена стоянка либо остановка транспортных средств, а также иные места, определяемые при осуществлении контроля (надзора) в области безопасности дорожного движения.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Для осведомленности участников дорожного движения предусмотрена публикация сведений о местах размещения дородных видеокамер и о видах нарушений, которые ими фиксируются, на сайте МВД России.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Такие данные будут размещаться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Российской Федерации.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Новые правила вступят в силу с 01.09.2024 и будут действовать до 01.09.2030.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Обновлен порядок назначения ежегодной денежной выплаты лицам, награжденным знаком «Почетный донор России» 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 17.08.2024 начнет действовать новый Порядок осуществления ежегодной денежной выплаты лицам, награжденным нагрудным знаком «Почетный донор России», утвержденный приказом Министерства здравоохранения Российской Федерации от 06.05.2024 № 228н.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Указанным Порядком предусмотрена возможность подачи заявления об установлении ежегодной денежной выплаты путем обращения в МФЦ.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Также определено, что с 30 ноября 2024 года лицу, имеющему право на выплату, ее назначение осуществляется в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проактивном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режиме при предоставлении согласия посредством единого портала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Госуслуг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на использование указанных гражданином реквизитов банковских счетов в целях получения мер соцзащиты.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Одновременно признан утратившим силу приказ Министерства здравоохранения Российской Федерации от 11.07.2013 № 450н, устанавливавший правила осуществления данной выплаты ранее.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Утверждены правила взаимодействия </w:t>
      </w:r>
      <w:proofErr w:type="spell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интернет-провайдеров</w:t>
      </w:r>
      <w:proofErr w:type="spell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и управляющих компаний при размещении сетей связи в многоквартирных домах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Постановлением Правительства Российской Федерации от 06.08.2024 № 1055 утверждены правила, согласно которым будет регулироваться взаимодействие компаний-провайдеров, предоставляющих услуги по выходу в интернет, и управляющих компаний многоквартирных домов.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Указанные правила будет способствовать решению сразу двух главных вопросов, а именно: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управляющие компании больше не смогут отказывать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интернет-провайдерам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 доступе в дома, что ограничивало право граждан на выбор поставщиков услуг связи;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определены типовые технические требования к монтажу сетей связи в многоквартирных домах, а также порядок действий управляющих компаний и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интернет-провайдеров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 случае, если в ходе работ по установке или демонтажу оборудования был причинен ущерб общему имуществу в многоквартирном доме.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Это позволят упростить разрешение споров между управляющими компаниями,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интернет-провайдерами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и жильцами, проживающими в многоквартирном доме.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Изменения в законодательстве по фиксации результатов проведенных мероприятий по сохранению лесов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Федеральным законом внесены изменения в Лесной кодекс Российской Федерации и Федеральный закон «Об общих принципах организации местного самоуправления в Российской Федерации» в части фиксации результатов мероприятий по сохранению лесов.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Так, с 01.01.2025 результаты осуществления мероприятий по сохранению лесов, в том числе результаты выполнения работ по охране, защите, воспроизводству лесов, лесоразведению, подлежат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фотофиксации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с использованием специального программного обеспечения,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Оператор федеральной государственной информационной системы лесного комплекса обеспечивает без взимания платы доступ к указанному специальному программному обеспечению лицам, которые обязаны предоставлять материалы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фотофиксации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Участковые больницы смогут продавать лекарства в сельской местности там, где нет аптек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>Внесены изменения в Федеральные законы «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Об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обращениям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лекарственных средств» и «Об основах охраны здоровья граждан в Российской Федерации».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 1 сентября 2024 года усовершенствован порядок обеспечения доступности лека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рств дл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>я сельских жителей.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Так, предусмотрен открытый перечень обособленных подразделений медицинских организаций в сельской местности, которые могут торговать препаратами в розницу при отсутствии аптек.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Также расширен круг лиц, имеющих право на фармацевтическую деятельность, за счет сотрудников, которые вправе заниматься медицинской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деятельностью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и получили дополнительное профобразование в части розничной торговли лекарствами, при условии их работы в вышеуказанных подразделениях.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Внесены изменения в порядок осуществления </w:t>
      </w:r>
      <w:proofErr w:type="gram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контроля за</w:t>
      </w:r>
      <w:proofErr w:type="gram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деятельностью социальных учреждений для пожилых граждан и инвалидов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14 сентября вступило в силу постановление Правительства Российской Федерации от 03.09.2024 № 1214 «О внесении изменений в постановление Правительства Российской Федерации от 25 июня 2021 г. № 999».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Нормативным правовым актом усовершенствованы нормы Положения о федеральном государственном контроле (надзоре) в сфере социального обслуживания. Для организаций, находящихся в ведении федеральных органов исполнительной власти и организаций социального обслуживания субъекта Российской Федерации, в которых проживающим пожилым людям и инвалидам оказывается социальная помощь, введена новая категория риска – чрезвычайно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высокий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Объект относится к категории чрезвычайно высокого риска, если: а) в ходе последнего планового мероприятия выявлены нарушения соблюдения обязательных требований;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б) 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субъект контроля предоставляет услуги в стационарной форме социального обслуживания; в) численность получателей социальных услуг, предоставляемых в стационарной форме, составляет более 100 человек.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Теперь в домах и пансионатах для пожилых людей и инвалидов, относящихся к названной группе, ежегодно будут проводиться инспекционные визиты или документарные либо выездные проверки. Кроме того, для таких учреждений обязательными станут ежегодные профилактические визиты. До сих пор все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соцучреждения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, где проживали обозначенные лица, были разделены на три вида – высокого, среднего и низкого риска. При этом в организациях, отнесенных к группе высокого риска, проверки могли проводиться лишь один раз в два года. 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января 2025 года начнет действовать Стандарт защиты прав и законных интересов ипотечных заемщиков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 1 января 2025 года Стандарт станет обязательным для банков и будет распространяться на договоры, заключенные после этой даты.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Согласно положениям Стандарта, в частности: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банки будут обязаны при получении от заемщика вознаграждения за установление пониженной процентной ставки честно информировать его о том, какова разница в полной стоимости кредита, чтобы при принятии решения заемщик понимал, выгодна ли для него эта услуга;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банк не вправе будет получать вознаграждение от продавца (застройщика) за установление пониженной процентной ставки по ипотеке, если это ведет к увеличению цены объекта недвижимости;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запрещается длительное размещение средств ипотечных заемщиков на аккредитивах вместо счетов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эскроу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в составе первоначального взноса нельзя будет учитывать сумму, которая возвратится покупателю после приобретения квартиры.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Утвержден перечень товаров, которые должны производиться с обязательным использованием вторсырья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Распоряжением Правительства Российской Федерации от 28.08.2024 № 2330-р утвержден перечень видов продукции (товаров), производство которой осуществляется с обязательным использованием определенной доли вторичного сырья в ее составе и перечень видов работ, услуг, выполнение и оказание которых осуществляются с обязательным использованием определенной доли вторичного сырья в их составе.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указанный перечень включены: цемент, коробки из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гофрокартона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, топливные брикеты, древесная мука, ДСП, покрытия из резиновой крошки, полиэтиленовые мешки, ПЭТ-бутылки,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почвогрунты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, силикатный кирпич, химические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мелиоранты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и др. Для каждой позиции указана минимальная доля вторсырья.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перечень работ и услуг, выполняемых/оказываемых с обязательным использованием вторсырья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включены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ликвидация и консервация горных выработок, дорожное строительство и реконструкция автодорог (доля 5%), химическая мелиорация и рекультивация земель (доля 10%).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Распоряжение вступает в силу с 1 января 2025 года.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октября 2024 года размер вознаграждения адвоката, участвующего в уголовном деле по назначению дознавателя, следователя или суда, проиндексирован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Постановлением Правительства Российской Федерации от 14.09.2024 № 1259 «Об индексации в 2024 году размера вознаграждения адвоката, участвующего в уголовном судопроизводстве по назначению дознавателя, следователя или суда, и внесении изменений в постановление Правительства Российской Федерации от 1 декабря 2012 г. № 1240» размер вознаграждения адвоката, участвующего в уголовном деле по назначению дознавателя, следователя или суда, будет проиндексирован на 5,1%.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Также установлены размеры вознаграждения адвоката с учетом сложности выполняемых задач (участие в ночное время, в случае предъявления обвинения по 3 или более инкриминируемым деяниям; по делам, рассматриваемым в закрытых судебных заседаниях или вне зданий соответствующих судов, и пр.).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марта 2025 года работодатели будут обязаны следить за офисными аптечками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Приказом Минтруда России от 09.08.2024 № 398н утверждены требования к размещению, хранению и использованию аптечки для оказания работниками первой помощи пострадавшим. Они актуальны для всех работодателей (организаций, физлиц) и работников.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>Так, при комплектации аптечек необходимо учитывать требования, утвержденные приказом Минздрава России от 24.05.2024 № 262н. При этом работодатель обязан будет следить за тем, чтобы аптечка пополнялась недостающими медынскими изделиями, а сроки их службы (годности) были в норме. Периодичность проведения такого контроля он сможет определить самостоятельно.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Количество мест для размещения и хранения аптечек, а также количество аптечек должно определяться исходя из среднесписочной численности организации, специфики ее деятельности, результатов оценки профессиональных рисков.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При размещении и хранении аптечек главное, чтобы к ним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был беспрепятственный доступ и обеспечивалась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сохранность медицинских изделий с учетом инструкций от производителей. Сами места потребуется обозначить сигнальными цветами и знаками, а указатели на место для аптечки можно будет разместить на информационных стендах, в уголках по охране труда или в местах проведения инструктажей по охране труда, а также на плане эвакуации при пожаре.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Согласно приказу, требования к порядку размещения, хранения и использования аптечек работодатель сможет доводить до работника любым удобным способом. Это могут быть распоряжения, указания, приказы или инструкции в рамках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обучения по охране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труда и т.п.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Требования будут действовать с 1 марта 2025 года по 1 марта 2031 года.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января 2025 года будет применен обновленный порядок оказания СФР бесплатной помощи лицам, имеющим право на получение страхового обеспечения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Приказом Минтруда от 09.08.2024 № 395н утвержден Порядок оказания Фондом пенсионного и социального страхования Российской Федерации бесплатной помощи застрахованному лицу.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Бесплатная помощь оказывается застрахованному лицу в целях получения пособий, в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т.ч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. по временной нетрудоспособности или в связи с рождением ребенка, в случаях прекращения страхователем деятельности или когда невозможно установить фактическое место его нахождения.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Бесплатная помощь оказывается в виде составления заявлений, жалоб, ходатайств и других документов правового характера, а также в виде представления интересов заявителя в судах.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Определен перечень документов, прилагаемых к заявлению об оказании бесплатной помощи, порядок и сроки рассмотрения документов, порядок уведомления заявителя и прочее.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Одновременно признан утратившим силу Приказ Минтруда России от 19.04.2023 № 314н.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Изменения в законодательстве об образовании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Федеральным законом от 08.08.2024 № 314-ФЗ внесены изменения в статьи 68 и 71 Федерального закона от 29.12.2012 № 273-ФЗ «Об образовании в Российской Федерации» (далее – Федеральный закон № 273-ФЗ).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Предусмотрено, что преимущественное право зачисления в техникумы и колледжи предоставляется инвалидам с детства и инвалидам вследствие военной травмы при условии успешного прохождения вступительных испытаний (в случае их проведения) и при прочих равных условиях.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Федеральным законом от 08.08.2024 № 15-ФЗ внесены изменения в Федеральный закон № 273-ФЗ, согласно которым совершенствуются особенности получения образования обучающимися с ограниченными возможностями здоровья (далее – ОВЗ).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Предусмотрено, что условия организации обучения и воспитания определяются: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для обучающихся с ограниченными возможностями здоровья - в рекомендациях психолого-медико-педагогической комиссии;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для инвалидов (детей-инвалидов) - в рекомендациях психолого-медико-педагогической комиссии, а также в соответствии с индивидуальной программой реабилитации и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абилитации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Педагогические работники обязаны соблюдать специальные условия, необходимые для получения образования лицами с ОВЗ,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психолого-педагогической, медицинской и социальной помощи.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Уточнено, что понимается под специальными условиями для получения образования указанными лицами (к таким условиям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отнесено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 том числе обеспечение предоставления услуг переводчика русского жестового языка (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сурдопереводчика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тифлосурдопереводчика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), а также педагогических работников в соответствии с рекомендациями психолого-медико-педагогической комиссии).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Кроме этого, из текста Федерального закона № 273-ФЗ исключен термин «умственная отсталость» - он заменен на термин «нарушение интеллекта».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Федеральный закон № 15-ФЗ вступает в силу с 1 марта 2025 года.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октября 2024 года проиндексированы заработные платы некоторым категориям работников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Так, повышаются вознаграждения за труд: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преподавателей юридических дисциплин образовательных организаций высшего образования и научным работникам, имеющим ученую степень по юридической специальности;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представителей общероссийских общественных объединений юристов за участие в работе комиссий по приему квалификационного экзамена на должность судьи;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адвокатам, участвующим в уголовном деле по назначению дознавателя, следователя или суда;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работникам федеральных казенных, бюджетных и автономных учреждений;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работникам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>Данные изменения установлены постановлениями Правительства Российской Федерации от 11.09.2024 № 1235, от 14.09.2024 № 1259, распоряжением Правительства Российской Федерации от 15.08.2024 № 2189-р, письмом Министерства науки и высшего образования Российской Федерации от 02.09.2024 № МН-18/1370-АО.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Обновлен порядок подтверждения документов об образовании или о квалификации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Порядок подтверждения документов об образовании или о квалификации установлен постановлением Правительством Российской Федерации от 10.11.2023 № 1890. Документ вступил в силу с 1 сентября текущего года, срок его действия ограничен 1 сентября 2029 года.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Подтверждение документов об образовании, о квалификации осуществляется по заявлениям граждан, поданным в письменной форме или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либо реестра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апостилей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. Результатом подтверждения документов является проставление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апостиля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на них или на отдельных листах, скрепляемых с этими документами, или в электронном виде путем создания электронной версии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апостиля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с двухмерным штриховым кодом и внесения компетентным органом соответствующих сведений в реестр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апостилей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Двухмерный штриховой код, содержащий в кодированном виде адрес интернет-страницы с размещенными на ней записями о проставленном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апостиле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 реестре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апостилей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 электронном виде, обеспечивает реализацию дистанционного доступа к сведениям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о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проставленных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апостилях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Апостиль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– штамп, соответствующий установленным требованиям, проставляемый компетентным органом на российском официальном документе или на отдельном листе, скрепляемом с этим документом, и удостоверяющий подлинность подписи и должность лица, подписавшего документ, и в надлежащем случае подлинность печати или штампа, которыми скреплен этот документ.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Заявитель вправе отозвать заявление на любом этапе подтверждения документов об образовании или о квалификации до принятия компетентным органом решения о подтверждении документа об образовании или о квалификации или об отказе в таком подтверждении.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Подтверждение документов об образовании или о квалификации осуществляется в соответствии с международными договорами Российской Федерации, Федеральным законом от 28.11.2015 № 330-ФЗ «О проставлении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апостиля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на российских официальных документах, подлежащих вывозу за пределы территории Российской Федерации» и иными нормативными правовыми актами Российской Федерации.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За проставление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апостиля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на документе об образовании или о квалификации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Так, статьей 333.33 Налогового кодекса Российской Федерации за проставление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апостиля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предусмотрена госпошлина 2 500 руб. за каждый документ.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Правительством Российской Федерации определены правила направления остатка средств материнского капитала на получение единовременной выплаты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Постановлением Правительства Российской Федерации от 11.09.2024 № 1248 утверждены правила направления средств материнского (семейного) капитала на получение единовременной выплаты и формы заявления о распоряжении средствами материнского (семейного) капитала на получение единовременной выплаты.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Право на единовременную выплату имеют семьи, у которых после распоряжения средствами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маткапитала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его остаток не превышает 10 тыс. рублей.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Социальный фонд России (СФР) уведомит лиц, которым положена единовременная выплата, посредством Единого портала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госуслуг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Заявление о распоряжении средствами материнского (семейного) капитала на получение единовременной выплаты может быть подано в территориальный орган СФР: в электронном виде посредством Единого портала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госуслуг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; через МФЦ; лично или через представителя; по почте.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Средства поступят на банковский счет лица в течение 5 рабочих дней со дня принятия территориальным органом СФР решения об удовлетворении заявления.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Настоящим постановлением также утверждена форма указанного заявления.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Внесены изменения в законодательство, регулирующее институт наставничества в сфере профилактики безнадзорности и правонарушений несовершеннолетних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Федеральным законом от 08.08.2024 № 322-ФЗ «О внесении изменений отдельные законодательные акты Российской Федерации» внесены изменения в Федеральные законы от 11.08.1995 № 135-ФЗ «О благотворительной деятельности и добровольчестве (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волонтерстве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)» и от 24.06.1999 № 120-ФЗ «Об основах системы профилактики безнадзорности и правонарушений несовершеннолетних».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Изменения направлены на правовое регулирование института наставничества в сфере профилактики безнадзорности и правонарушений несовершеннолетних и информационного обеспечения такой деятельности.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В частности, в этих целях предусматривается возможность использования единой информационной системы в сфере развития добровольчества (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волонтерства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>), включающей ведение реестров наставников, привлекаемых для осуществления индивидуальной профилактической работы с несовершеннолетними, и организаций, участвующих в деятельности по профилактике безнадзорности и правонарушений несовершеннолетних. Правила ведения указанных реестров будут установлены Правительством Российской Федерации.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Для информационного обеспечения деятельности по профилактике безнадзорности и правонарушений несовершеннолетних и защиты их прав предусмотрено создание государственной информационной системы профилактики безнадзорности и правонарушений несовершеннолетних, оператором которой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Кроме того, новой редакцией Федерального закона от 14.07.2022 № 255-ФЗ «О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контроле за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деятельностью лиц, находящихся под иностранным влиянием» иностранным агентам, запрещено участвовать в деятельности по профилактике безнадзорности и правонарушений несовершеннолетних.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>Федеральный закон от 08.08.2024 № 322-ФЗ вступит в силу с 05.02.2025.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Изменения в уголовном законодательстве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Федеральным законом от 02.10.2024 № 340-ФЗ «О внесении изменений в статью 78.1 Уголовного кодекса Российской Федерации и Уголовно-процессуальный кодекс Российской Федерации» обвиняемые (подсудимые), призванные на военную службу в Вооруженные Силы либо заключившие контракт, проходящие военную службу в период мобилизации, военного положения или в военное время, в отношении которых производство по уголовному делу приостановлено по ходатайству командования воинской части (учреждения), освобождаются от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уголовной ответственности: со дня награждения государственной наградой, полученной в период прохождения военной службы; со дня увольнения с военной службы по достижении предельного возраста пребывания на военной службе; по состоянию здоровья; в связи с окончанием периода мобилизации.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Указанные изменения коснулись также порядка и оснований принятия судом решений о приостановлении производства по уголовным делам на основании ходатайства командования воинской части (учреждения), об отмене меры пресечения, а также о прекращении уголовного дела или уголовного преследования в отношении указанной категории обвиняемых (подсудимых). Аналогичный правовой механизм распространяется также на осужденных, в отношении которых приговор в законную силу не вступил.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Изменения вступили в силу с 2 октября 2024 года.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01.09.2024 начало действовать обязательное страхование пассажиров легкового такси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 01.09.2024 для легкового такси введено обязательное страхование гражданской ответственности перевозчика (ОСГОП) согласно Федеральному закону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(далее – Федеральный закон от 14.06.2012 № 67-ФЗ).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В связи с новыми изменениями законодательства страховая выплата сможет составить: по риску гражданской ответственности за причинения вреда жизни пассажира в размере не менее 2 025 000 руб. на 1 пассажира; по риску гражданской ответственности за причинения вреда здоровью пассажира в размере не менее 2 025 000 руб. на 1 пассажира; по риску гражданской ответственности за причинения вреда имущества пассажира в размере не менее 23 000 руб. на 1 пассажира.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Договор ОСГОП должен быть заключен в отношении каждого транспортного средства, внесенного в региональный реестр легкового такси.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Ответственность за нарушение требований о страховании ответственности перевозчика закреплена ст. 11.31 КоАП РФ.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Так, перевозка пассажиров перевозчиком, не заключившим договор ОСГОП, влечет административное наказание в виде штрафа в размере от 40 000 руб. до 50 000 руб. для должностных лиц и индивидуальных предпринимателей, а для юридических лиц от 500 000 руб. до 1 000 000 руб.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Кроме того,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непредоставление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пассажирам информации о страховщике и договоре ОСГОП является также административным правонарушением, предусмотренным ч. 2 ст. 11.31 КоАП РФ и влечет административное наказание в виде штрафа в размере от 1 000 руб. до 3 000 руб. для должностных лиц и индивидуальных предпринимателей, а для юридических лиц от 10 000 руб. до 30 000 руб.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Уплатить имущественные налоги гражданам необходимо не позднее 2 декабря 2024 года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Федеральная налоговая службы начала рассылку сводных налоговых уведомлений на оплату имущественных налогов физических лиц за 2023 год.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Приоритетным способом рассылки остается электронная форма через личный кабинет налогоплательщика физического лица. Подключить уведомления также можно в личном кабинете на едином портале государственных и муниципальных услуг. Лицам, не имеющим доступа к этим сервисам, налоговое уведомление отправляется по почте заказным письмом.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Налоговое уведомление за налоговый период 2023 года должно быть исполнено не позднее 2 декабря 2024 года. Исполнить обязанность по уплате имущественных налогов (пополнить баланс Единого налогового счета) возможно следующим образом: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через отделение банка, платежные терминалы, принадлежащие банкам.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-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ч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>ерез личный кабинет налогоплательщика на сайте ФНС России (при наличии доступа к нему);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через портал государственных и муниципальных услуг;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на сайте ФНС России www.nalog.gov.ru с помощью сервиса «Уплата налогов и пошлин», путем выбора вкладки «Физическим лицам» - «Пополнить единый налоговый счет»;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- по уникальному идентификатору начисления платежного документа (в случае наличия налогового уведомления).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С помощью единого налогового платежа, который является аналогом электронного кошелька, физические лица могут заплатить налог на имущество физических лиц, земельный и транспортный налоги авансом, не дожидаясь налогового уведомления. Денежные средства будут находиться на Едином налоговом счете налогоплательщика до наступления срока уплаты имущественных налогов.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>Вносить необходимую сумму можно частями, самостоятельно определяя их размер и периодичность перечисления. Необходимая сумма для уплаты имущественных налогов полностью должна быть сформирована к сроку уплаты (2 декабря 2024 года). Налоговый орган самостоятельно проведет зачет такого платежа, распределив суммы по назначению.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марта 2025 г. вносятся изменения в правила ведения реестра групп предприятий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Постановлением Правительства РФ от 03.10.2024 № 1330 «О внесении изменений в постановление Правительства Российской Федерации от 10 сентября 2021 г. № 1533» уточнены критерии отнесения юридического лица к головной организации группы предприятий, в том числе установлено, что юридическое лицо относится к головной организации группы предприятий, если осуществляет контроль над другими юридическими лицами группы предприятий и в состав участников такого юридического лица входит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Российская Федерация, субъект РФ, федеральная территория или муниципальное образование вне зависимости от доли участия в уставном капитале и при условии, что в составе участников нет иного участника с долей участия в уставном капитале более 50 процентов.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Внесены </w:t>
      </w:r>
      <w:proofErr w:type="gramStart"/>
      <w:r w:rsidRPr="00EF3A89">
        <w:rPr>
          <w:rFonts w:ascii="Times New Roman" w:hAnsi="Times New Roman" w:cs="Times New Roman"/>
          <w:b/>
          <w:bCs/>
          <w:sz w:val="18"/>
          <w:szCs w:val="18"/>
        </w:rPr>
        <w:t>дополнения</w:t>
      </w:r>
      <w:proofErr w:type="gramEnd"/>
      <w:r w:rsidRPr="00EF3A89">
        <w:rPr>
          <w:rFonts w:ascii="Times New Roman" w:hAnsi="Times New Roman" w:cs="Times New Roman"/>
          <w:b/>
          <w:bCs/>
          <w:sz w:val="18"/>
          <w:szCs w:val="18"/>
        </w:rPr>
        <w:t xml:space="preserve"> и уточнения в правила назначения и осуществления единовременных выплат лицам, осуществляющим деятельность на территории новых регионов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Постановление Правительства РФ от 09.10.2024 № 1353 «О внесении изменений в постановление Правительства Российской Федерации от 6 мая 2022 г. № 824» в числе прочего предусматривает порядок назначения выплат работнику госпредприятия, получившему увечье (ранение, травму, контузию) при исполнении им уставных задач и функций такого предприятия, либо в случае гибели (смерти) работника членам его семьи в равных долях в размерах, установленных Указом № 640. 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Принято решение о создании Всероссийского родительского комитета (совета) при Министерстве просвещения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соответствии с Приказом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Минпросвещения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России от 16.09.2024 № 640 «О Всероссийском родительском комитете (совете) при Министерстве просвещения Российской Федерации» Комитет создается в целях формирования единого воспитательного пространства, объединения усилий родительской общественности, госорганов и общественных институтов по вопросам воспитания и обучения, а также для рассмотрения вопросов развития деятельности родительских сообществ в регионах. 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/>
          <w:bCs/>
          <w:sz w:val="18"/>
          <w:szCs w:val="18"/>
        </w:rPr>
        <w:t>С 1 октября 2024 г. по 31 декабря 2025 г. на территории РФ будет проводиться эксперимент по использованию сведений о многодетных семьях, содержащихся в ГИС "Единая централизованная цифровая платформа в социальной сфере", при предоставлении государственных и муниципальных услуг и мер социальной поддержки</w:t>
      </w:r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Согласно распоряжению Правительства РФ от 30.09.2024 № 2714-р «О проведении эксперимента по использованию сведений о многодетных семьях, признанных в соответствии с законодательством субъекта Российской Федерации, содержащихся в ГИС "Единая централизованная цифровая платформа в социальной сфере", при предоставлении государственных и муниципальных услуг и мер социальной поддержки» проведение эксперимента осуществляется Минтрудом России, Минэкономразвития России, </w:t>
      </w:r>
      <w:proofErr w:type="spellStart"/>
      <w:r w:rsidRPr="00EF3A89">
        <w:rPr>
          <w:rFonts w:ascii="Times New Roman" w:hAnsi="Times New Roman" w:cs="Times New Roman"/>
          <w:bCs/>
          <w:sz w:val="18"/>
          <w:szCs w:val="18"/>
        </w:rPr>
        <w:t>Минцифры</w:t>
      </w:r>
      <w:proofErr w:type="spell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России, Минкультуры России, Минтрансом России, Социальным фондом России. </w:t>
      </w:r>
      <w:proofErr w:type="gramEnd"/>
    </w:p>
    <w:p w:rsidR="00EF3A89" w:rsidRPr="00EF3A89" w:rsidRDefault="00EF3A89" w:rsidP="00EF3A89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F3A89">
        <w:rPr>
          <w:rFonts w:ascii="Times New Roman" w:hAnsi="Times New Roman" w:cs="Times New Roman"/>
          <w:bCs/>
          <w:sz w:val="18"/>
          <w:szCs w:val="18"/>
        </w:rPr>
        <w:t xml:space="preserve">В рамках эксперимента будут </w:t>
      </w:r>
      <w:proofErr w:type="gramStart"/>
      <w:r w:rsidRPr="00EF3A89">
        <w:rPr>
          <w:rFonts w:ascii="Times New Roman" w:hAnsi="Times New Roman" w:cs="Times New Roman"/>
          <w:bCs/>
          <w:sz w:val="18"/>
          <w:szCs w:val="18"/>
        </w:rPr>
        <w:t>апробироваться</w:t>
      </w:r>
      <w:proofErr w:type="gramEnd"/>
      <w:r w:rsidRPr="00EF3A89">
        <w:rPr>
          <w:rFonts w:ascii="Times New Roman" w:hAnsi="Times New Roman" w:cs="Times New Roman"/>
          <w:bCs/>
          <w:sz w:val="18"/>
          <w:szCs w:val="18"/>
        </w:rPr>
        <w:t xml:space="preserve"> в том числе механизм использования сведений, подтверждающих статус многодетной семьи, путем предъявления двухмерного штрихового кода (QR-кода), позволяющего осуществить проверку сведений об отнесении гражданина к члену многодетной семьи, а также инструменты для получения и учета данных о предоставленных юридическими лицами услугах при считывании двухмерного штрихового кода (QR-кода), в том числе с использованием открытого программного интерфейса (API), позволяющего осуществить проверку сведений об отнесении гражданина к члену многодетной семьи.</w:t>
      </w:r>
    </w:p>
    <w:p w:rsidR="00EF3A89" w:rsidRP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___________________________________________________</w:t>
      </w:r>
    </w:p>
    <w:p w:rsid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Pr="00EF3A89" w:rsidRDefault="00EF3A89" w:rsidP="00EF3A89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F3A89" w:rsidRDefault="00EF3A89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</w:t>
      </w:r>
      <w:proofErr w:type="gram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в печат</w:t>
      </w:r>
      <w:r w:rsidR="00EF3A89">
        <w:rPr>
          <w:rFonts w:ascii="Times New Roman" w:hAnsi="Times New Roman" w:cs="Times New Roman"/>
          <w:b/>
          <w:bCs/>
          <w:sz w:val="16"/>
          <w:szCs w:val="16"/>
        </w:rPr>
        <w:t>ь:           25.10</w:t>
      </w:r>
      <w:r w:rsidR="00FD79FF" w:rsidRPr="00256F47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Чудовский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район, д. Трегубово, ул. </w:t>
      </w:r>
      <w:proofErr w:type="gram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Школьная</w:t>
      </w:r>
      <w:proofErr w:type="gramEnd"/>
      <w:r w:rsidRPr="00256F47">
        <w:rPr>
          <w:rFonts w:ascii="Times New Roman" w:hAnsi="Times New Roman" w:cs="Times New Roman"/>
          <w:b/>
          <w:bCs/>
          <w:sz w:val="16"/>
          <w:szCs w:val="16"/>
        </w:rPr>
        <w:t>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52" w:rsidRDefault="00EB6552">
      <w:pPr>
        <w:spacing w:after="0" w:line="240" w:lineRule="auto"/>
      </w:pPr>
      <w:r>
        <w:separator/>
      </w:r>
    </w:p>
  </w:endnote>
  <w:endnote w:type="continuationSeparator" w:id="0">
    <w:p w:rsidR="00EB6552" w:rsidRDefault="00EB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52" w:rsidRDefault="00EB6552">
      <w:pPr>
        <w:spacing w:after="0" w:line="240" w:lineRule="auto"/>
      </w:pPr>
      <w:r>
        <w:separator/>
      </w:r>
    </w:p>
  </w:footnote>
  <w:footnote w:type="continuationSeparator" w:id="0">
    <w:p w:rsidR="00EB6552" w:rsidRDefault="00EB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EB6552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EF3A89">
                  <w:rPr>
                    <w:b/>
                    <w:bCs/>
                    <w:i/>
                    <w:iCs/>
                    <w:u w:val="single"/>
                  </w:rPr>
                  <w:t>среда , 25 октября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 xml:space="preserve">  2024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EF3A89">
                  <w:rPr>
                    <w:b/>
                    <w:bCs/>
                    <w:i/>
                    <w:iCs/>
                    <w:u w:val="single"/>
                  </w:rPr>
                  <w:t>10(1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F3A89" w:rsidRPr="00EF3A89">
                  <w:rPr>
                    <w:noProof/>
                    <w:color w:val="F9F9F9"/>
                  </w:rPr>
                  <w:t>12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F65CED"/>
    <w:multiLevelType w:val="multilevel"/>
    <w:tmpl w:val="952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D644C4"/>
    <w:multiLevelType w:val="multilevel"/>
    <w:tmpl w:val="93B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107643E"/>
    <w:multiLevelType w:val="multilevel"/>
    <w:tmpl w:val="ED5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32"/>
  </w:num>
  <w:num w:numId="6">
    <w:abstractNumId w:val="23"/>
  </w:num>
  <w:num w:numId="7">
    <w:abstractNumId w:val="8"/>
  </w:num>
  <w:num w:numId="8">
    <w:abstractNumId w:val="35"/>
  </w:num>
  <w:num w:numId="9">
    <w:abstractNumId w:val="26"/>
  </w:num>
  <w:num w:numId="10">
    <w:abstractNumId w:val="21"/>
  </w:num>
  <w:num w:numId="11">
    <w:abstractNumId w:val="10"/>
  </w:num>
  <w:num w:numId="12">
    <w:abstractNumId w:val="12"/>
  </w:num>
  <w:num w:numId="13">
    <w:abstractNumId w:val="7"/>
  </w:num>
  <w:num w:numId="14">
    <w:abstractNumId w:val="29"/>
  </w:num>
  <w:num w:numId="15">
    <w:abstractNumId w:val="15"/>
  </w:num>
  <w:num w:numId="16">
    <w:abstractNumId w:val="6"/>
  </w:num>
  <w:num w:numId="17">
    <w:abstractNumId w:val="30"/>
  </w:num>
  <w:num w:numId="18">
    <w:abstractNumId w:val="24"/>
  </w:num>
  <w:num w:numId="19">
    <w:abstractNumId w:val="22"/>
  </w:num>
  <w:num w:numId="20">
    <w:abstractNumId w:val="16"/>
  </w:num>
  <w:num w:numId="21">
    <w:abstractNumId w:val="18"/>
  </w:num>
  <w:num w:numId="22">
    <w:abstractNumId w:val="17"/>
  </w:num>
  <w:num w:numId="23">
    <w:abstractNumId w:val="14"/>
  </w:num>
  <w:num w:numId="24">
    <w:abstractNumId w:val="3"/>
  </w:num>
  <w:num w:numId="25">
    <w:abstractNumId w:val="2"/>
  </w:num>
  <w:num w:numId="26">
    <w:abstractNumId w:val="34"/>
  </w:num>
  <w:num w:numId="27">
    <w:abstractNumId w:val="1"/>
  </w:num>
  <w:num w:numId="28">
    <w:abstractNumId w:val="37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6"/>
  </w:num>
  <w:num w:numId="33">
    <w:abstractNumId w:val="20"/>
  </w:num>
  <w:num w:numId="34">
    <w:abstractNumId w:val="33"/>
  </w:num>
  <w:num w:numId="35">
    <w:abstractNumId w:val="19"/>
  </w:num>
  <w:num w:numId="36">
    <w:abstractNumId w:val="5"/>
  </w:num>
  <w:num w:numId="37">
    <w:abstractNumId w:val="31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87326"/>
    <w:rsid w:val="002909BD"/>
    <w:rsid w:val="00290D27"/>
    <w:rsid w:val="00297F42"/>
    <w:rsid w:val="002B780B"/>
    <w:rsid w:val="002D344A"/>
    <w:rsid w:val="002D6529"/>
    <w:rsid w:val="002D7D8A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42B4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E3D72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74D62"/>
    <w:rsid w:val="00E815C1"/>
    <w:rsid w:val="00E842E2"/>
    <w:rsid w:val="00E966AA"/>
    <w:rsid w:val="00EA24D7"/>
    <w:rsid w:val="00EA469D"/>
    <w:rsid w:val="00EA6412"/>
    <w:rsid w:val="00EB6552"/>
    <w:rsid w:val="00EC0675"/>
    <w:rsid w:val="00EC4D66"/>
    <w:rsid w:val="00ED2980"/>
    <w:rsid w:val="00EF053C"/>
    <w:rsid w:val="00EF3A89"/>
    <w:rsid w:val="00F04BC9"/>
    <w:rsid w:val="00F057E5"/>
    <w:rsid w:val="00F06EE4"/>
    <w:rsid w:val="00F1699A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4FD3-BB5F-46CC-85B9-937699C4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12</Pages>
  <Words>8623</Words>
  <Characters>49157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57665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89</cp:revision>
  <cp:lastPrinted>2018-05-28T05:53:00Z</cp:lastPrinted>
  <dcterms:created xsi:type="dcterms:W3CDTF">2014-06-20T07:25:00Z</dcterms:created>
  <dcterms:modified xsi:type="dcterms:W3CDTF">2024-10-25T07:56:00Z</dcterms:modified>
</cp:coreProperties>
</file>